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G4U Building Performance Technical Guide</w:t>
      </w:r>
    </w:p>
    <w:p>
      <w:r>
        <w:rPr>
          <w:rFonts w:ascii="Arial" w:hAnsi="Arial" w:eastAsia="Arial" w:cs="Arial"/>
          <w:b w:val="0"/>
          <w:color w:val="000000"/>
          <w:sz w:val="22"/>
        </w:rPr>
        <w:t>A selection guide for building owners, asset managers, facilities teams and technical leaders considering AI energy management, engineering improvement and a managed performance service.</w:t>
      </w:r>
    </w:p>
    <w:p>
      <w:pPr>
        <w:pStyle w:val="Heading1"/>
      </w:pPr>
      <w:r>
        <w:t>The customer decision</w:t>
      </w:r>
    </w:p>
    <w:p>
      <w:r>
        <w:rPr>
          <w:rFonts w:ascii="Arial" w:hAnsi="Arial" w:eastAsia="Arial" w:cs="Arial"/>
          <w:b w:val="0"/>
          <w:color w:val="000000"/>
          <w:sz w:val="22"/>
        </w:rPr>
        <w:t>G4U connects energy information to operating and investment decisions. The solution combines AI Energy Management, Retrofit Engineering and Managed Performance around one agreed building boundary. The aim is to reduce energy waste, improve everyday operation and sustain the results over time.</w:t>
      </w:r>
    </w:p>
    <w:p>
      <w:r>
        <w:rPr>
          <w:rFonts w:ascii="Arial" w:hAnsi="Arial" w:eastAsia="Arial" w:cs="Arial"/>
          <w:b w:val="0"/>
          <w:color w:val="000000"/>
          <w:sz w:val="22"/>
        </w:rPr>
        <w:t>The first project is designed for an existing office building in Dubai, typically 10 to 20 years old, with owner-controlled HVAC and common building services. We begin by establishing the facts, identifying workable improvements and agreeing how their effects will be measured.</w:t>
      </w:r>
    </w:p>
    <w:p>
      <w:pPr>
        <w:pStyle w:val="Heading1"/>
      </w:pPr>
      <w:r>
        <w:t>What the solution adds</w:t>
      </w:r>
    </w:p>
    <w:p>
      <w:pPr>
        <w:pStyle w:val="ListBullet"/>
      </w:pPr>
      <w:r>
        <w:rPr>
          <w:rFonts w:ascii="Arial" w:hAnsi="Arial" w:eastAsia="Arial" w:cs="Arial"/>
          <w:b w:val="0"/>
          <w:color w:val="000000"/>
          <w:sz w:val="22"/>
        </w:rPr>
        <w:t>A consistent energy record across electricity, water and cooling.</w:t>
      </w:r>
    </w:p>
    <w:p>
      <w:pPr>
        <w:pStyle w:val="ListBullet"/>
      </w:pPr>
      <w:r>
        <w:rPr>
          <w:rFonts w:ascii="Arial" w:hAnsi="Arial" w:eastAsia="Arial" w:cs="Arial"/>
          <w:b w:val="0"/>
          <w:color w:val="000000"/>
          <w:sz w:val="22"/>
        </w:rPr>
        <w:t>Engineering-led investigation, equipment models and prioritized improvements.</w:t>
      </w:r>
    </w:p>
    <w:p>
      <w:pPr>
        <w:pStyle w:val="ListBullet"/>
      </w:pPr>
      <w:r>
        <w:rPr>
          <w:rFonts w:ascii="Arial" w:hAnsi="Arial" w:eastAsia="Arial" w:cs="Arial"/>
          <w:b w:val="0"/>
          <w:color w:val="000000"/>
          <w:sz w:val="22"/>
        </w:rPr>
        <w:t>A tool-using AI assistant that connects evidence and prepares recommendations.</w:t>
      </w:r>
    </w:p>
    <w:p>
      <w:pPr>
        <w:pStyle w:val="ListBullet"/>
      </w:pPr>
      <w:r>
        <w:rPr>
          <w:rFonts w:ascii="Arial" w:hAnsi="Arial" w:eastAsia="Arial" w:cs="Arial"/>
          <w:b w:val="0"/>
          <w:color w:val="000000"/>
          <w:sz w:val="22"/>
        </w:rPr>
        <w:t>Measurement and Verification and three defined performance outcomes.</w:t>
      </w:r>
    </w:p>
    <w:p>
      <w:pPr>
        <w:pStyle w:val="ListBullet"/>
      </w:pPr>
      <w:r>
        <w:rPr>
          <w:rFonts w:ascii="Arial" w:hAnsi="Arial" w:eastAsia="Arial" w:cs="Arial"/>
          <w:b w:val="0"/>
          <w:color w:val="000000"/>
          <w:sz w:val="22"/>
        </w:rPr>
        <w:t>A delivery and managed-service plan that works with the existing building team.</w:t>
      </w:r>
    </w:p>
    <w:p>
      <w:pPr>
        <w:pStyle w:val="Heading1"/>
      </w:pPr>
      <w:r>
        <w:t>How to use this guide</w:t>
      </w:r>
    </w:p>
    <w:p>
      <w:r>
        <w:rPr>
          <w:rFonts w:ascii="Arial" w:hAnsi="Arial" w:eastAsia="Arial" w:cs="Arial"/>
          <w:b w:val="0"/>
          <w:color w:val="000000"/>
          <w:sz w:val="22"/>
        </w:rPr>
        <w:t>Business readers can start with the integrated service, scope, Triple SLA, assessment and reference cases. Technical readers can review the data foundation, Model Packs, hybrid AI, approval levels and acceptance approach. The compact algorithm catalogue names the principal methods and alternatives without reproducing software specifications.</w:t>
      </w:r>
    </w:p>
    <w:p>
      <w:pPr>
        <w:pStyle w:val="Heading1"/>
      </w:pPr>
      <w:r>
        <w:t>A practical starting point</w:t>
      </w:r>
    </w:p>
    <w:p>
      <w:r>
        <w:rPr>
          <w:rFonts w:ascii="Arial" w:hAnsi="Arial" w:eastAsia="Arial" w:cs="Arial"/>
          <w:b w:val="0"/>
          <w:color w:val="000000"/>
          <w:sz w:val="22"/>
        </w:rPr>
        <w:t>Choose one candidate building, involve the asset and operations teams, and scope a paid 90-Day Building Performance Assessment. The result is a baseline candidate, an opportunity register and a prioritized performance and implementation plan.</w:t>
      </w:r>
    </w:p>
    <w:p>
      <w:r>
        <w:br w:type="page"/>
      </w:r>
    </w:p>
    <w:p>
      <w:pPr>
        <w:pStyle w:val="Heading1"/>
        <w:spacing w:before="0"/>
      </w:pPr>
      <w:r>
        <w:rPr>
          <w:sz w:val="38"/>
        </w:rPr>
        <w:t>Guide Contents</w:t>
      </w:r>
    </w:p>
    <w:p>
      <w:r>
        <w:rPr>
          <w:rFonts w:ascii="Arial" w:hAnsi="Arial" w:eastAsia="Arial" w:cs="Arial"/>
          <w:b w:val="0"/>
          <w:color w:val="000000"/>
          <w:sz w:val="22"/>
        </w:rPr>
        <w:t>Read the sections relevant to your decision, then use the compact algorithm catalogue for the selected technical methods.</w:t>
      </w:r>
    </w:p>
    <w:p>
      <w:pPr>
        <w:pStyle w:val="Heading2"/>
      </w:pPr>
      <w:r>
        <w:t>Sections and page numbers</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7920"/>
        <w:gridCol w:w="2160"/>
      </w:tblGrid>
      <w:tr>
        <w:trPr>
          <w:tblHeader/>
          <w:cantSplit/>
        </w:trPr>
        <w:tc>
          <w:tcPr>
            <w:tcW w:type="dxa" w:w="7920"/>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Subject</w:t>
            </w:r>
          </w:p>
        </w:tc>
        <w:tc>
          <w:tcPr>
            <w:tcW w:type="dxa" w:w="2160"/>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Pages</w:t>
            </w:r>
          </w:p>
        </w:tc>
      </w:tr>
      <w:tr>
        <w:trPr>
          <w:cantSplit/>
        </w:trPr>
        <w:tc>
          <w:tcPr>
            <w:tcW w:type="dxa" w:w="79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Business outcomes and the building scope</w:t>
            </w:r>
          </w:p>
        </w:tc>
        <w:tc>
          <w:tcPr>
            <w:tcW w:type="dxa" w:w="216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3 to 4</w:t>
            </w:r>
          </w:p>
        </w:tc>
      </w:tr>
      <w:tr>
        <w:trPr>
          <w:cantSplit/>
        </w:trPr>
        <w:tc>
          <w:tcPr>
            <w:tcW w:type="dxa" w:w="79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Product workflow and 2D system views</w:t>
            </w:r>
          </w:p>
        </w:tc>
        <w:tc>
          <w:tcPr>
            <w:tcW w:type="dxa" w:w="216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5 to 6</w:t>
            </w:r>
          </w:p>
        </w:tc>
      </w:tr>
      <w:tr>
        <w:trPr>
          <w:cantSplit/>
        </w:trPr>
        <w:tc>
          <w:tcPr>
            <w:tcW w:type="dxa" w:w="79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Data quality energy balance and virtual metering</w:t>
            </w:r>
          </w:p>
        </w:tc>
        <w:tc>
          <w:tcPr>
            <w:tcW w:type="dxa" w:w="216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7 to 8</w:t>
            </w:r>
          </w:p>
        </w:tc>
      </w:tr>
      <w:tr>
        <w:trPr>
          <w:cantSplit/>
        </w:trPr>
        <w:tc>
          <w:tcPr>
            <w:tcW w:type="dxa" w:w="79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Hybrid AI assistant and investigation</w:t>
            </w:r>
          </w:p>
        </w:tc>
        <w:tc>
          <w:tcPr>
            <w:tcW w:type="dxa" w:w="216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9 to 11</w:t>
            </w:r>
          </w:p>
        </w:tc>
      </w:tr>
      <w:tr>
        <w:trPr>
          <w:cantSplit/>
        </w:trPr>
        <w:tc>
          <w:tcPr>
            <w:tcW w:type="dxa" w:w="79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Model Packs and equipment analysis</w:t>
            </w:r>
          </w:p>
        </w:tc>
        <w:tc>
          <w:tcPr>
            <w:tcW w:type="dxa" w:w="216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12 to 15</w:t>
            </w:r>
          </w:p>
        </w:tc>
      </w:tr>
      <w:tr>
        <w:trPr>
          <w:cantSplit/>
        </w:trPr>
        <w:tc>
          <w:tcPr>
            <w:tcW w:type="dxa" w:w="79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Baseline M&amp;V and uncertainty</w:t>
            </w:r>
          </w:p>
        </w:tc>
        <w:tc>
          <w:tcPr>
            <w:tcW w:type="dxa" w:w="216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16 to 18</w:t>
            </w:r>
          </w:p>
        </w:tc>
      </w:tr>
      <w:tr>
        <w:trPr>
          <w:cantSplit/>
        </w:trPr>
        <w:tc>
          <w:tcPr>
            <w:tcW w:type="dxa" w:w="79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Forecast optimization and Energy Actions</w:t>
            </w:r>
          </w:p>
        </w:tc>
        <w:tc>
          <w:tcPr>
            <w:tcW w:type="dxa" w:w="216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19 to 21</w:t>
            </w:r>
          </w:p>
        </w:tc>
      </w:tr>
      <w:tr>
        <w:trPr>
          <w:cantSplit/>
        </w:trPr>
        <w:tc>
          <w:tcPr>
            <w:tcW w:type="dxa" w:w="79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Approval controlled intents and Triple SLA</w:t>
            </w:r>
          </w:p>
        </w:tc>
        <w:tc>
          <w:tcPr>
            <w:tcW w:type="dxa" w:w="216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22 to 23</w:t>
            </w:r>
          </w:p>
        </w:tc>
      </w:tr>
      <w:tr>
        <w:trPr>
          <w:cantSplit/>
        </w:trPr>
        <w:tc>
          <w:tcPr>
            <w:tcW w:type="dxa" w:w="79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Deployment security and model governance</w:t>
            </w:r>
          </w:p>
        </w:tc>
        <w:tc>
          <w:tcPr>
            <w:tcW w:type="dxa" w:w="216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24 to 25</w:t>
            </w:r>
          </w:p>
        </w:tc>
      </w:tr>
      <w:tr>
        <w:trPr>
          <w:cantSplit/>
        </w:trPr>
        <w:tc>
          <w:tcPr>
            <w:tcW w:type="dxa" w:w="79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Engineering managed service and assessment</w:t>
            </w:r>
          </w:p>
        </w:tc>
        <w:tc>
          <w:tcPr>
            <w:tcW w:type="dxa" w:w="216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26 to 28</w:t>
            </w:r>
          </w:p>
        </w:tc>
      </w:tr>
      <w:tr>
        <w:trPr>
          <w:cantSplit/>
        </w:trPr>
        <w:tc>
          <w:tcPr>
            <w:tcW w:type="dxa" w:w="79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Delivery acceptance cases and procurement</w:t>
            </w:r>
          </w:p>
        </w:tc>
        <w:tc>
          <w:tcPr>
            <w:tcW w:type="dxa" w:w="216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29 to 30</w:t>
            </w:r>
          </w:p>
        </w:tc>
      </w:tr>
      <w:tr>
        <w:trPr>
          <w:cantSplit/>
        </w:trPr>
        <w:tc>
          <w:tcPr>
            <w:tcW w:type="dxa" w:w="79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Main algorithms and alternatives</w:t>
            </w:r>
          </w:p>
        </w:tc>
        <w:tc>
          <w:tcPr>
            <w:tcW w:type="dxa" w:w="216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31 to 33</w:t>
            </w:r>
          </w:p>
        </w:tc>
      </w:tr>
      <w:tr>
        <w:trPr>
          <w:cantSplit/>
        </w:trPr>
        <w:tc>
          <w:tcPr>
            <w:tcW w:type="dxa" w:w="79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Glossary and authoritative references</w:t>
            </w:r>
          </w:p>
        </w:tc>
        <w:tc>
          <w:tcPr>
            <w:tcW w:type="dxa" w:w="216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34</w:t>
            </w:r>
          </w:p>
        </w:tc>
      </w:tr>
    </w:tbl>
    <w:p>
      <w:pPr>
        <w:spacing w:after="0"/>
      </w:pPr>
    </w:p>
    <w:p>
      <w:pPr>
        <w:pStyle w:val="Heading2"/>
      </w:pPr>
      <w:r>
        <w:t>For business and asset leaders</w:t>
      </w:r>
    </w:p>
    <w:p>
      <w:r>
        <w:rPr>
          <w:rFonts w:ascii="Arial" w:hAnsi="Arial" w:eastAsia="Arial" w:cs="Arial"/>
          <w:b w:val="0"/>
          <w:color w:val="000000"/>
          <w:sz w:val="22"/>
        </w:rPr>
        <w:t>Begin with the business outcomes, scope, Triple SLA and assessment. Review how engineering and managed performance connect with the owner’s operating team, then use the procurement questions to structure the next decision.</w:t>
      </w:r>
    </w:p>
    <w:p>
      <w:pPr>
        <w:pStyle w:val="Heading2"/>
      </w:pPr>
      <w:r>
        <w:t>For facilities and technical leaders</w:t>
      </w:r>
    </w:p>
    <w:p>
      <w:r>
        <w:rPr>
          <w:rFonts w:ascii="Arial" w:hAnsi="Arial" w:eastAsia="Arial" w:cs="Arial"/>
          <w:b w:val="0"/>
          <w:color w:val="000000"/>
          <w:sz w:val="22"/>
        </w:rPr>
        <w:t>Review the data foundation, equipment Model Packs, AI investigation, M&amp;V and controlled intent. Use the delivery and acceptance section to identify the evidence needed for the building.</w:t>
      </w:r>
    </w:p>
    <w:p>
      <w:pPr>
        <w:pStyle w:val="Heading2"/>
      </w:pPr>
      <w:r>
        <w:t>For IT and procurement teams</w:t>
      </w:r>
    </w:p>
    <w:p>
      <w:r>
        <w:rPr>
          <w:rFonts w:ascii="Arial" w:hAnsi="Arial" w:eastAsia="Arial" w:cs="Arial"/>
          <w:b w:val="0"/>
          <w:color w:val="000000"/>
          <w:sz w:val="22"/>
        </w:rPr>
        <w:t>Review deployment, security, model governance, data ownership and the proposal schedule. Confirm the selected modules, delivery roles, acceptance tests and commercial basis.</w:t>
      </w:r>
    </w:p>
    <w:p>
      <w:r>
        <w:br w:type="page"/>
      </w:r>
    </w:p>
    <w:p>
      <w:pPr>
        <w:pStyle w:val="Heading1"/>
        <w:spacing w:before="0"/>
      </w:pPr>
      <w:r>
        <w:rPr>
          <w:sz w:val="38"/>
        </w:rPr>
        <w:t>Business Outcomes and the Integrated Service</w:t>
      </w:r>
    </w:p>
    <w:p>
      <w:r>
        <w:rPr>
          <w:rFonts w:ascii="Arial" w:hAnsi="Arial" w:eastAsia="Arial" w:cs="Arial"/>
          <w:b w:val="0"/>
          <w:color w:val="000000"/>
          <w:sz w:val="22"/>
        </w:rPr>
        <w:t>The improvement program addresses energy use alongside occupied operation and the condition of the building’s systems.</w:t>
      </w:r>
    </w:p>
    <w:p>
      <w:pPr>
        <w:pStyle w:val="Heading2"/>
      </w:pPr>
      <w:r>
        <w:t>Energy and water performance</w:t>
      </w:r>
    </w:p>
    <w:p>
      <w:r>
        <w:rPr>
          <w:rFonts w:ascii="Arial" w:hAnsi="Arial" w:eastAsia="Arial" w:cs="Arial"/>
          <w:b w:val="0"/>
          <w:color w:val="000000"/>
          <w:sz w:val="22"/>
        </w:rPr>
        <w:t>Monthly bills show the total cost, but they do not explain its operating causes. Metered trends, schedules, weather and equipment information help distinguish normal demand from avoidable operation. An agreed baseline then provides a consistent comparison when conditions change.</w:t>
      </w:r>
    </w:p>
    <w:p>
      <w:r>
        <w:rPr>
          <w:rFonts w:ascii="Arial" w:hAnsi="Arial" w:eastAsia="Arial" w:cs="Arial"/>
          <w:b w:val="0"/>
          <w:color w:val="000000"/>
          <w:sz w:val="22"/>
        </w:rPr>
        <w:t>Cost reporting separates changes in resource consumption from changes in tariffs and other bill components. This helps the owner judge the value of an operating improvement or equipment investment.</w:t>
      </w:r>
    </w:p>
    <w:p>
      <w:pPr>
        <w:pStyle w:val="Heading2"/>
      </w:pPr>
      <w:r>
        <w:t>Indoor environment and equipment operation</w:t>
      </w:r>
    </w:p>
    <w:p>
      <w:r>
        <w:rPr>
          <w:rFonts w:ascii="Arial" w:hAnsi="Arial" w:eastAsia="Arial" w:cs="Arial"/>
          <w:b w:val="0"/>
          <w:color w:val="000000"/>
          <w:sz w:val="22"/>
        </w:rPr>
        <w:t>Cooling and ventilation decisions affect occupied spaces as well as utility use. The improvement plan considers the agreed indoor conditions, required equipment capacity and continuity of service. It can therefore compare a saving opportunity with its effect on comfort, redundancy and equipment operation.</w:t>
      </w:r>
    </w:p>
    <w:p>
      <w:pPr>
        <w:pStyle w:val="Heading2"/>
      </w:pPr>
      <w:r>
        <w:t>Three connected core services</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32"/>
        <w:gridCol w:w="4392"/>
        <w:gridCol w:w="3456"/>
      </w:tblGrid>
      <w:tr>
        <w:trPr>
          <w:tblHeader/>
          <w:cantSplit/>
        </w:trPr>
        <w:tc>
          <w:tcPr>
            <w:tcW w:type="dxa" w:w="2232"/>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Service</w:t>
            </w:r>
          </w:p>
        </w:tc>
        <w:tc>
          <w:tcPr>
            <w:tcW w:type="dxa" w:w="4392"/>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Work performed</w:t>
            </w:r>
          </w:p>
        </w:tc>
        <w:tc>
          <w:tcPr>
            <w:tcW w:type="dxa" w:w="345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Customer decision</w:t>
            </w:r>
          </w:p>
        </w:tc>
      </w:tr>
      <w:tr>
        <w:trPr>
          <w:cantSplit/>
        </w:trPr>
        <w:tc>
          <w:tcPr>
            <w:tcW w:type="dxa" w:w="223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AI Energy Management</w:t>
            </w:r>
          </w:p>
        </w:tc>
        <w:tc>
          <w:tcPr>
            <w:tcW w:type="dxa" w:w="439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Metering analysis, investigation, equipment models, scenarios and performance records</w:t>
            </w:r>
          </w:p>
        </w:tc>
        <w:tc>
          <w:tcPr>
            <w:tcW w:type="dxa" w:w="345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What is happening and what deserves attention</w:t>
            </w:r>
          </w:p>
        </w:tc>
      </w:tr>
      <w:tr>
        <w:trPr>
          <w:cantSplit/>
        </w:trPr>
        <w:tc>
          <w:tcPr>
            <w:tcW w:type="dxa" w:w="223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Retrofit Engineering</w:t>
            </w:r>
          </w:p>
        </w:tc>
        <w:tc>
          <w:tcPr>
            <w:tcW w:type="dxa" w:w="439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Assessment, commissioning, operating improvement and suitable equipment or material upgrades</w:t>
            </w:r>
          </w:p>
        </w:tc>
        <w:tc>
          <w:tcPr>
            <w:tcW w:type="dxa" w:w="345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What should be changed and how to deliver it</w:t>
            </w:r>
          </w:p>
        </w:tc>
      </w:tr>
      <w:tr>
        <w:trPr>
          <w:cantSplit/>
        </w:trPr>
        <w:tc>
          <w:tcPr>
            <w:tcW w:type="dxa" w:w="223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Managed Performance</w:t>
            </w:r>
          </w:p>
        </w:tc>
        <w:tc>
          <w:tcPr>
            <w:tcW w:type="dxa" w:w="439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Monitoring, optimization review, M&amp;V, SLA review and the next improvement plan</w:t>
            </w:r>
          </w:p>
        </w:tc>
        <w:tc>
          <w:tcPr>
            <w:tcW w:type="dxa" w:w="345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How to keep results on track over time</w:t>
            </w:r>
          </w:p>
        </w:tc>
      </w:tr>
    </w:tbl>
    <w:p>
      <w:pPr>
        <w:spacing w:after="0"/>
      </w:pPr>
    </w:p>
    <w:p>
      <w:pPr>
        <w:pStyle w:val="Heading2"/>
      </w:pPr>
      <w:r>
        <w:t>Work with existing investments</w:t>
      </w:r>
    </w:p>
    <w:p>
      <w:r>
        <w:rPr>
          <w:rFonts w:ascii="Arial" w:hAnsi="Arial" w:eastAsia="Arial" w:cs="Arial"/>
          <w:b w:val="0"/>
          <w:color w:val="000000"/>
          <w:sz w:val="22"/>
        </w:rPr>
        <w:t>The solution can use a functioning Building Management System (BMS), metering, integration and facilities management (FM) capabilities. Mature hardware remains part of the building. G4U provides the energy intelligence and service coordination while agreed engineering partners deliver the relevant physical work.</w:t>
      </w:r>
    </w:p>
    <w:p>
      <w:r>
        <w:br w:type="page"/>
      </w:r>
    </w:p>
    <w:p>
      <w:pPr>
        <w:pStyle w:val="Heading1"/>
        <w:spacing w:before="0"/>
      </w:pPr>
      <w:r>
        <w:rPr>
          <w:sz w:val="38"/>
        </w:rPr>
        <w:t>The Building Scope and Cooling Boundary</w:t>
      </w:r>
    </w:p>
    <w:p>
      <w:r>
        <w:rPr>
          <w:rFonts w:ascii="Arial" w:hAnsi="Arial" w:eastAsia="Arial" w:cs="Arial"/>
          <w:b w:val="0"/>
          <w:color w:val="000000"/>
          <w:sz w:val="22"/>
        </w:rPr>
        <w:t>Define the systems, meters, areas and decisions the project can influence before selecting modules or measures.</w:t>
      </w:r>
    </w:p>
    <w:p>
      <w:pPr>
        <w:pStyle w:val="Heading2"/>
      </w:pPr>
      <w:r>
        <w:t>Initial owner controlled scope</w:t>
      </w:r>
    </w:p>
    <w:p>
      <w:r>
        <w:rPr>
          <w:rFonts w:ascii="Arial" w:hAnsi="Arial" w:eastAsia="Arial" w:cs="Arial"/>
          <w:b w:val="0"/>
          <w:color w:val="000000"/>
          <w:sz w:val="22"/>
        </w:rPr>
        <w:t>The initial service covers owner-controlled HVAC and common building services. Typical equipment includes the cooling plant or district-cooling interface, chilled and condenser-water pumps, cooling towers, AHUs, fresh and exhaust-air systems and common-area terminals. Common water and relevant metering can be included where the owner has usable data and authority.</w:t>
      </w:r>
    </w:p>
    <w:p>
      <w:r>
        <w:rPr>
          <w:rFonts w:ascii="Arial" w:hAnsi="Arial" w:eastAsia="Arial" w:cs="Arial"/>
          <w:b w:val="0"/>
          <w:color w:val="000000"/>
          <w:sz w:val="22"/>
        </w:rPr>
        <w:t>Tenant-controlled areas remain outside the initial contracted performance scope. A later extension can be evaluated with its own access, data, operating responsibility and measurement boundary.</w:t>
      </w:r>
    </w:p>
    <w:p>
      <w:pPr>
        <w:pStyle w:val="Heading2"/>
      </w:pPr>
      <w:r>
        <w:t>On site cooling and district cooling</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088"/>
        <w:gridCol w:w="4536"/>
        <w:gridCol w:w="3456"/>
      </w:tblGrid>
      <w:tr>
        <w:trPr>
          <w:tblHeader/>
          <w:cantSplit/>
        </w:trPr>
        <w:tc>
          <w:tcPr>
            <w:tcW w:type="dxa" w:w="2088"/>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Supply arrangement</w:t>
            </w:r>
          </w:p>
        </w:tc>
        <w:tc>
          <w:tcPr>
            <w:tcW w:type="dxa" w:w="453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Where the assessment looks</w:t>
            </w:r>
          </w:p>
        </w:tc>
        <w:tc>
          <w:tcPr>
            <w:tcW w:type="dxa" w:w="345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Information to confirm</w:t>
            </w:r>
          </w:p>
        </w:tc>
      </w:tr>
      <w:tr>
        <w:trPr>
          <w:cantSplit/>
        </w:trPr>
        <w:tc>
          <w:tcPr>
            <w:tcW w:type="dxa" w:w="208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On-site plant</w:t>
            </w:r>
          </w:p>
        </w:tc>
        <w:tc>
          <w:tcPr>
            <w:tcW w:type="dxa" w:w="453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Chiller efficiency, staging, auxiliaries, pumping, airside operation and equipment renewal</w:t>
            </w:r>
          </w:p>
        </w:tc>
        <w:tc>
          <w:tcPr>
            <w:tcW w:type="dxa" w:w="345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Plant and equipment meters, operating curves, control authority and redundancy</w:t>
            </w:r>
          </w:p>
        </w:tc>
      </w:tr>
      <w:tr>
        <w:trPr>
          <w:cantSplit/>
        </w:trPr>
        <w:tc>
          <w:tcPr>
            <w:tcW w:type="dxa" w:w="208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District cooling</w:t>
            </w:r>
          </w:p>
        </w:tc>
        <w:tc>
          <w:tcPr>
            <w:tcW w:type="dxa" w:w="453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Customer interface, return temperature, demand, secondary pumping and airside operation</w:t>
            </w:r>
          </w:p>
        </w:tc>
        <w:tc>
          <w:tcPr>
            <w:tcW w:type="dxa" w:w="345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Cooling bills, thermal metering, interface conditions and the customer-side responsibility</w:t>
            </w:r>
          </w:p>
        </w:tc>
      </w:tr>
    </w:tbl>
    <w:p>
      <w:pPr>
        <w:spacing w:after="0"/>
      </w:pPr>
    </w:p>
    <w:p>
      <w:pPr>
        <w:pStyle w:val="Heading2"/>
      </w:pPr>
      <w:r>
        <w:t>Energy and cost boundaries are related but different</w:t>
      </w:r>
    </w:p>
    <w:p>
      <w:r>
        <w:rPr>
          <w:rFonts w:ascii="Arial" w:hAnsi="Arial" w:eastAsia="Arial" w:cs="Arial"/>
          <w:b w:val="0"/>
          <w:color w:val="000000"/>
          <w:sz w:val="22"/>
        </w:rPr>
        <w:t>Electricity reduction does not automatically equal a reduction in every cooling charge. The assessment identifies the relevant utility or cooling bill components and links each proposed improvement to the charge it can affect. Fixed charges, demand charges and consumption charges remain visible in the value model.</w:t>
      </w:r>
    </w:p>
    <w:p>
      <w:pPr>
        <w:pStyle w:val="Heading2"/>
      </w:pPr>
      <w:r>
        <w:t>What the AI energy system does</w:t>
      </w:r>
    </w:p>
    <w:p>
      <w:r>
        <w:rPr>
          <w:rFonts w:ascii="Arial" w:hAnsi="Arial" w:eastAsia="Arial" w:cs="Arial"/>
          <w:b w:val="0"/>
          <w:color w:val="000000"/>
          <w:sz w:val="22"/>
        </w:rPr>
        <w:t>The core software organizes energy facts, analysis, recommendations, Energy Actions and approval-controlled intents. IoT acquisition, FM work orders, building-wide IBMS, detailed interfaces, physical controls and three-dimensional digital twins are separate delivery capabilities or optional family extensions. The energy interface uses two-dimensional system views.</w:t>
      </w:r>
    </w:p>
    <w:p>
      <w:r>
        <w:br w:type="page"/>
      </w:r>
    </w:p>
    <w:p>
      <w:pPr>
        <w:pStyle w:val="Heading1"/>
        <w:spacing w:before="0"/>
      </w:pPr>
      <w:r>
        <w:rPr>
          <w:sz w:val="38"/>
        </w:rPr>
        <w:t>The Product Workflow and User Experience</w:t>
      </w:r>
    </w:p>
    <w:p>
      <w:r>
        <w:rPr>
          <w:rFonts w:ascii="Arial" w:hAnsi="Arial" w:eastAsia="Arial" w:cs="Arial"/>
          <w:b w:val="0"/>
          <w:color w:val="000000"/>
          <w:sz w:val="22"/>
        </w:rPr>
        <w:t>The product is organized around the operating questions the owner and technical team need to answer.</w:t>
      </w:r>
    </w:p>
    <w:p>
      <w:pPr>
        <w:pStyle w:val="Heading2"/>
      </w:pPr>
      <w:r>
        <w:t>A complete improvement cycle</w:t>
      </w:r>
    </w:p>
    <w:p>
      <w:r>
        <w:rPr>
          <w:rFonts w:ascii="Arial" w:hAnsi="Arial" w:eastAsia="Arial" w:cs="Arial"/>
          <w:b w:val="0"/>
          <w:color w:val="000000"/>
          <w:sz w:val="22"/>
        </w:rPr>
        <w:t>The workflow moves through seeing consumption, finding an exception, explaining possible causes, comparing an action, approving the intended change and verifying its effect. The same object, time period and evidence record follow the issue through the cycle.</w:t>
      </w:r>
    </w:p>
    <w:p>
      <w:r>
        <w:rPr>
          <w:rFonts w:ascii="Arial" w:hAnsi="Arial" w:eastAsia="Arial" w:cs="Arial"/>
          <w:b w:val="0"/>
          <w:color w:val="000000"/>
          <w:sz w:val="22"/>
        </w:rPr>
        <w:t>Different roles see the information relevant to their work. Asset managers focus on value and risk; energy managers investigate performance; facilities teams confirm site facts and operating feasibility; authorized reviewers inspect the calculation and approval record.</w:t>
      </w:r>
    </w:p>
    <w:p>
      <w:pPr>
        <w:pStyle w:val="Heading2"/>
      </w:pPr>
      <w:r>
        <w:t>Core workspaces</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12"/>
        <w:gridCol w:w="6768"/>
      </w:tblGrid>
      <w:tr>
        <w:trPr>
          <w:tblHeader/>
          <w:cantSplit/>
        </w:trPr>
        <w:tc>
          <w:tcPr>
            <w:tcW w:type="dxa" w:w="3312"/>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Workspace</w:t>
            </w:r>
          </w:p>
        </w:tc>
        <w:tc>
          <w:tcPr>
            <w:tcW w:type="dxa" w:w="6768"/>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Question answered</w:t>
            </w:r>
          </w:p>
        </w:tc>
      </w:tr>
      <w:tr>
        <w:trPr>
          <w:cantSplit/>
        </w:trPr>
        <w:tc>
          <w:tcPr>
            <w:tcW w:type="dxa" w:w="331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Overview and Energy Explorer</w:t>
            </w:r>
          </w:p>
        </w:tc>
        <w:tc>
          <w:tcPr>
            <w:tcW w:type="dxa" w:w="676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What changed, where did it occur and how does it compare with normal operation?</w:t>
            </w:r>
          </w:p>
        </w:tc>
      </w:tr>
      <w:tr>
        <w:trPr>
          <w:cantSplit/>
        </w:trPr>
        <w:tc>
          <w:tcPr>
            <w:tcW w:type="dxa" w:w="331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Energy Balance and 2D system views</w:t>
            </w:r>
          </w:p>
        </w:tc>
        <w:tc>
          <w:tcPr>
            <w:tcW w:type="dxa" w:w="676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Where is energy used and which equipment or meter is relevant?</w:t>
            </w:r>
          </w:p>
        </w:tc>
      </w:tr>
      <w:tr>
        <w:trPr>
          <w:cantSplit/>
        </w:trPr>
        <w:tc>
          <w:tcPr>
            <w:tcW w:type="dxa" w:w="331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Diagnostics</w:t>
            </w:r>
          </w:p>
        </w:tc>
        <w:tc>
          <w:tcPr>
            <w:tcW w:type="dxa" w:w="676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What evidence supports each possible cause and how can it be tested?</w:t>
            </w:r>
          </w:p>
        </w:tc>
      </w:tr>
      <w:tr>
        <w:trPr>
          <w:cantSplit/>
        </w:trPr>
        <w:tc>
          <w:tcPr>
            <w:tcW w:type="dxa" w:w="331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Forecast and Scenario</w:t>
            </w:r>
          </w:p>
        </w:tc>
        <w:tc>
          <w:tcPr>
            <w:tcW w:type="dxa" w:w="676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What is likely to happen and how would a defined change affect the outcome?</w:t>
            </w:r>
          </w:p>
        </w:tc>
      </w:tr>
      <w:tr>
        <w:trPr>
          <w:cantSplit/>
        </w:trPr>
        <w:tc>
          <w:tcPr>
            <w:tcW w:type="dxa" w:w="331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ECM and Energy Actions</w:t>
            </w:r>
          </w:p>
        </w:tc>
        <w:tc>
          <w:tcPr>
            <w:tcW w:type="dxa" w:w="676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Which improvement should proceed and how will it be verified?</w:t>
            </w:r>
          </w:p>
        </w:tc>
      </w:tr>
      <w:tr>
        <w:trPr>
          <w:cantSplit/>
        </w:trPr>
        <w:tc>
          <w:tcPr>
            <w:tcW w:type="dxa" w:w="331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Baseline M&amp;V and SLA</w:t>
            </w:r>
          </w:p>
        </w:tc>
        <w:tc>
          <w:tcPr>
            <w:tcW w:type="dxa" w:w="676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What has been achieved against the agreed performance basis?</w:t>
            </w:r>
          </w:p>
        </w:tc>
      </w:tr>
      <w:tr>
        <w:trPr>
          <w:cantSplit/>
        </w:trPr>
        <w:tc>
          <w:tcPr>
            <w:tcW w:type="dxa" w:w="331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AI Assistant and Reports</w:t>
            </w:r>
          </w:p>
        </w:tc>
        <w:tc>
          <w:tcPr>
            <w:tcW w:type="dxa" w:w="676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How can the team investigate, explain and communicate the result?</w:t>
            </w:r>
          </w:p>
        </w:tc>
      </w:tr>
      <w:tr>
        <w:trPr>
          <w:cantSplit/>
        </w:trPr>
        <w:tc>
          <w:tcPr>
            <w:tcW w:type="dxa" w:w="331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Administration and Governance</w:t>
            </w:r>
          </w:p>
        </w:tc>
        <w:tc>
          <w:tcPr>
            <w:tcW w:type="dxa" w:w="676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Which facts, permissions and model versions are in effect?</w:t>
            </w:r>
          </w:p>
        </w:tc>
      </w:tr>
    </w:tbl>
    <w:p>
      <w:pPr>
        <w:spacing w:after="0"/>
      </w:pPr>
    </w:p>
    <w:p>
      <w:pPr>
        <w:pStyle w:val="Heading2"/>
      </w:pPr>
      <w:r>
        <w:t>Make important numbers inspectable</w:t>
      </w:r>
    </w:p>
    <w:p>
      <w:r>
        <w:rPr>
          <w:rFonts w:ascii="Arial" w:hAnsi="Arial" w:eastAsia="Arial" w:cs="Arial"/>
          <w:b w:val="0"/>
          <w:color w:val="000000"/>
          <w:sz w:val="22"/>
        </w:rPr>
        <w:t>A selected value should lead to its meter or object, time window, units, data-quality status and calculation version. Charts distinguish measured and estimated information. This gives business users a concise view and technical users a path to the underlying evidence.</w:t>
      </w:r>
    </w:p>
    <w:p>
      <w:r>
        <w:br w:type="page"/>
      </w:r>
    </w:p>
    <w:p>
      <w:pPr>
        <w:pStyle w:val="Heading1"/>
        <w:spacing w:before="0"/>
      </w:pPr>
      <w:r>
        <w:rPr>
          <w:sz w:val="38"/>
        </w:rPr>
        <w:t>Two Dimensional System Views</w:t>
      </w:r>
    </w:p>
    <w:p>
      <w:r>
        <w:rPr>
          <w:rFonts w:ascii="Arial" w:hAnsi="Arial" w:eastAsia="Arial" w:cs="Arial"/>
          <w:b w:val="0"/>
          <w:color w:val="000000"/>
          <w:sz w:val="22"/>
        </w:rPr>
        <w:t>A configurable vector view helps operators understand the equipment relationships behind an energy finding.</w:t>
      </w:r>
    </w:p>
    <w:p>
      <w:pPr>
        <w:pStyle w:val="Heading2"/>
      </w:pPr>
      <w:r>
        <w:t>Analytical views rather than a 3D model</w:t>
      </w:r>
    </w:p>
    <w:p>
      <w:r>
        <w:rPr>
          <w:rFonts w:ascii="Arial" w:hAnsi="Arial" w:eastAsia="Arial" w:cs="Arial"/>
          <w:b w:val="0"/>
          <w:color w:val="000000"/>
          <w:sz w:val="22"/>
        </w:rPr>
        <w:t>The energy interface uses two-dimensional logic diagrams for chilled and condenser-water systems, chiller-pump-tower relationships, AHU air paths, the meter hierarchy and energy flow. The diagram follows confirmed equipment and point identifiers, so a selected symbol can lead to the relevant trend, diagnosis or evidence.</w:t>
      </w:r>
    </w:p>
    <w:p>
      <w:r>
        <w:rPr>
          <w:rFonts w:ascii="Arial" w:hAnsi="Arial" w:eastAsia="Arial" w:cs="Arial"/>
          <w:b w:val="0"/>
          <w:color w:val="000000"/>
          <w:sz w:val="22"/>
        </w:rPr>
        <w:t>Three-dimensional digital twins can be a separate product-family extension. They are not a prerequisite for the core energy investigation or its formal performance calculation.</w:t>
      </w:r>
    </w:p>
    <w:p>
      <w:pPr>
        <w:pStyle w:val="Heading2"/>
      </w:pPr>
      <w:r>
        <w:t>Separate the visual meanings</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880"/>
        <w:gridCol w:w="7200"/>
      </w:tblGrid>
      <w:tr>
        <w:trPr>
          <w:tblHeader/>
          <w:cantSplit/>
        </w:trPr>
        <w:tc>
          <w:tcPr>
            <w:tcW w:type="dxa" w:w="2880"/>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Visual information</w:t>
            </w:r>
          </w:p>
        </w:tc>
        <w:tc>
          <w:tcPr>
            <w:tcW w:type="dxa" w:w="7200"/>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What the operator reads</w:t>
            </w:r>
          </w:p>
        </w:tc>
      </w:tr>
      <w:tr>
        <w:trPr>
          <w:cantSplit/>
        </w:trPr>
        <w:tc>
          <w:tcPr>
            <w:tcW w:type="dxa" w:w="288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Operating state</w:t>
            </w:r>
          </w:p>
        </w:tc>
        <w:tc>
          <w:tcPr>
            <w:tcW w:type="dxa" w:w="720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Running, stopped or unknown equipment state</w:t>
            </w:r>
          </w:p>
        </w:tc>
      </w:tr>
      <w:tr>
        <w:trPr>
          <w:cantSplit/>
        </w:trPr>
        <w:tc>
          <w:tcPr>
            <w:tcW w:type="dxa" w:w="288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Efficiency</w:t>
            </w:r>
          </w:p>
        </w:tc>
        <w:tc>
          <w:tcPr>
            <w:tcW w:type="dxa" w:w="720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A qualified performance indicator and its trend or healthy range</w:t>
            </w:r>
          </w:p>
        </w:tc>
      </w:tr>
      <w:tr>
        <w:trPr>
          <w:cantSplit/>
        </w:trPr>
        <w:tc>
          <w:tcPr>
            <w:tcW w:type="dxa" w:w="288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Anomaly</w:t>
            </w:r>
          </w:p>
        </w:tc>
        <w:tc>
          <w:tcPr>
            <w:tcW w:type="dxa" w:w="720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The relevant event, severity and duration</w:t>
            </w:r>
          </w:p>
        </w:tc>
      </w:tr>
      <w:tr>
        <w:trPr>
          <w:cantSplit/>
        </w:trPr>
        <w:tc>
          <w:tcPr>
            <w:tcW w:type="dxa" w:w="288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Data quality</w:t>
            </w:r>
          </w:p>
        </w:tc>
        <w:tc>
          <w:tcPr>
            <w:tcW w:type="dxa" w:w="720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Signal health and whether a value is measured or estimated</w:t>
            </w:r>
          </w:p>
        </w:tc>
      </w:tr>
      <w:tr>
        <w:trPr>
          <w:cantSplit/>
        </w:trPr>
        <w:tc>
          <w:tcPr>
            <w:tcW w:type="dxa" w:w="288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Energy flow</w:t>
            </w:r>
          </w:p>
        </w:tc>
        <w:tc>
          <w:tcPr>
            <w:tcW w:type="dxa" w:w="720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The medium, direction and relevant power, flow or cooling quantity</w:t>
            </w:r>
          </w:p>
        </w:tc>
      </w:tr>
      <w:tr>
        <w:trPr>
          <w:cantSplit/>
        </w:trPr>
        <w:tc>
          <w:tcPr>
            <w:tcW w:type="dxa" w:w="288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Performance boundary</w:t>
            </w:r>
          </w:p>
        </w:tc>
        <w:tc>
          <w:tcPr>
            <w:tcW w:type="dxa" w:w="720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Included meters, equipment and areas</w:t>
            </w:r>
          </w:p>
        </w:tc>
      </w:tr>
      <w:tr>
        <w:trPr>
          <w:cantSplit/>
        </w:trPr>
        <w:tc>
          <w:tcPr>
            <w:tcW w:type="dxa" w:w="288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Intent status</w:t>
            </w:r>
          </w:p>
        </w:tc>
        <w:tc>
          <w:tcPr>
            <w:tcW w:type="dxa" w:w="720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An intended target, valid period and approval state</w:t>
            </w:r>
          </w:p>
        </w:tc>
      </w:tr>
    </w:tbl>
    <w:p>
      <w:pPr>
        <w:spacing w:after="0"/>
      </w:pPr>
    </w:p>
    <w:p>
      <w:pPr>
        <w:pStyle w:val="Heading2"/>
      </w:pPr>
      <w:r>
        <w:t>Useful interactions</w:t>
      </w:r>
    </w:p>
    <w:p>
      <w:r>
        <w:rPr>
          <w:rFonts w:ascii="Arial" w:hAnsi="Arial" w:eastAsia="Arial" w:cs="Arial"/>
          <w:b w:val="0"/>
          <w:color w:val="000000"/>
          <w:sz w:val="22"/>
        </w:rPr>
        <w:t>The user can select equipment, change the time window, replay a known event or ask the assistant to investigate the selected scope. The evidence view shows the underlying trends and model result. State and quality use labels or symbols as well as color.</w:t>
      </w:r>
    </w:p>
    <w:p>
      <w:pPr>
        <w:pStyle w:val="Heading2"/>
      </w:pPr>
      <w:r>
        <w:t>Confirm the site layout</w:t>
      </w:r>
    </w:p>
    <w:p>
      <w:r>
        <w:rPr>
          <w:rFonts w:ascii="Arial" w:hAnsi="Arial" w:eastAsia="Arial" w:cs="Arial"/>
          <w:b w:val="0"/>
          <w:color w:val="000000"/>
          <w:sz w:val="22"/>
        </w:rPr>
        <w:t>Templates and configuration create the view from the approved topology. A suggested relationship or layout is checked by the technical team. The view supports analysis and navigation; it does not introduce direct equipment-command buttons.</w:t>
      </w:r>
    </w:p>
    <w:p>
      <w:r>
        <w:br w:type="page"/>
      </w:r>
    </w:p>
    <w:p>
      <w:pPr>
        <w:pStyle w:val="Heading1"/>
        <w:spacing w:before="0"/>
      </w:pPr>
      <w:r>
        <w:rPr>
          <w:sz w:val="38"/>
        </w:rPr>
        <w:t>Data Quality Time and Units</w:t>
      </w:r>
    </w:p>
    <w:p>
      <w:r>
        <w:rPr>
          <w:rFonts w:ascii="Arial" w:hAnsi="Arial" w:eastAsia="Arial" w:cs="Arial"/>
          <w:b w:val="0"/>
          <w:color w:val="000000"/>
          <w:sz w:val="22"/>
        </w:rPr>
        <w:t>Useful analysis begins with information that represents the same equipment, time interval and physical quantity.</w:t>
      </w:r>
    </w:p>
    <w:p>
      <w:pPr>
        <w:pStyle w:val="Heading2"/>
      </w:pPr>
      <w:r>
        <w:t>Create a shared energy record</w:t>
      </w:r>
    </w:p>
    <w:p>
      <w:r>
        <w:rPr>
          <w:rFonts w:ascii="Arial" w:hAnsi="Arial" w:eastAsia="Arial" w:cs="Arial"/>
          <w:b w:val="0"/>
          <w:color w:val="000000"/>
          <w:sz w:val="22"/>
        </w:rPr>
        <w:t>Buildings, systems, equipment groups, devices, meters and common areas receive stable identifiers. Each point records its medium, unit, scaling, measured or estimated status, time meaning and source. The hierarchy also records the owner’s boundary.</w:t>
      </w:r>
    </w:p>
    <w:p>
      <w:r>
        <w:rPr>
          <w:rFonts w:ascii="Arial" w:hAnsi="Arial" w:eastAsia="Arial" w:cs="Arial"/>
          <w:b w:val="0"/>
          <w:color w:val="000000"/>
          <w:sz w:val="22"/>
        </w:rPr>
        <w:t>Business displays and contract calculations use Dubai time while retaining original timestamps and source time zones. Cumulative meter readings are converted into interval quantities with meter resets and missing periods handled explicitly. Power, energy, flow and thermal energy remain distinct.</w:t>
      </w:r>
    </w:p>
    <w:p>
      <w:pPr>
        <w:pStyle w:val="Heading2"/>
      </w:pPr>
      <w:r>
        <w:t>Quality checks with an explanation</w:t>
      </w:r>
    </w:p>
    <w:p>
      <w:r>
        <w:rPr>
          <w:rFonts w:ascii="Arial" w:hAnsi="Arial" w:eastAsia="Arial" w:cs="Arial"/>
          <w:b w:val="0"/>
          <w:color w:val="000000"/>
          <w:sz w:val="22"/>
        </w:rPr>
        <w:t>The main approach combines engineering and semantic rules with robust statistics. It checks missing or delayed samples, invalid units, scaling, stuck values, spikes, drift, duplicates, ordering and consistency between related points. A quality summary remains connected to the individual failed checks.</w:t>
      </w:r>
    </w:p>
    <w:p>
      <w:r>
        <w:rPr>
          <w:rFonts w:ascii="Arial" w:hAnsi="Arial" w:eastAsia="Arial" w:cs="Arial"/>
          <w:b w:val="0"/>
          <w:color w:val="000000"/>
          <w:sz w:val="22"/>
        </w:rPr>
        <w:t>A suspected efficiency problem may be a sensor problem. For example, a small temperature bias can materially affect the calculated cooling load at low temperature difference. Cross-checking flow, temperatures, power and state helps prioritize the right inspection.</w:t>
      </w:r>
    </w:p>
    <w:p>
      <w:pPr>
        <w:pStyle w:val="Heading2"/>
      </w:pPr>
      <w:r>
        <w:t>Treat missing data by its use</w:t>
      </w:r>
    </w:p>
    <w:p>
      <w:r>
        <w:rPr>
          <w:rFonts w:ascii="Arial" w:hAnsi="Arial" w:eastAsia="Arial" w:cs="Arial"/>
          <w:b w:val="0"/>
          <w:color w:val="000000"/>
          <w:sz w:val="22"/>
        </w:rPr>
        <w:t>Short gaps in a visual trend can use a marked interpolation. Diagnostic or forecast inputs use an approved method appropriate to the signal. Formal M&amp;V records the method, missing proportion and result sensitivity. Critical inputs for a control intent need current, qualified evidence. Original readings remain unchanged.</w:t>
      </w:r>
    </w:p>
    <w:p>
      <w:pPr>
        <w:pStyle w:val="Heading2"/>
      </w:pPr>
      <w:r>
        <w:t>Algorithm choices</w:t>
      </w:r>
    </w:p>
    <w:p>
      <w:r>
        <w:rPr>
          <w:rFonts w:ascii="Arial" w:hAnsi="Arial" w:eastAsia="Arial" w:cs="Arial"/>
          <w:b w:val="0"/>
          <w:color w:val="000000"/>
          <w:sz w:val="22"/>
        </w:rPr>
        <w:t>Main methods are deterministic rules, median absolute deviation and sliding-window robust statistics. Linear interpolation, similar-day estimation or Kalman smoothing can address suitable gaps. Isolation Forest, One-Class SVM and autoencoders are optional anomaly aids when the data and evaluation support them.</w:t>
      </w:r>
    </w:p>
    <w:p>
      <w:pPr>
        <w:pStyle w:val="Heading2"/>
      </w:pPr>
      <w:r>
        <w:t>Customer selection question</w:t>
      </w:r>
    </w:p>
    <w:p>
      <w:r>
        <w:rPr>
          <w:rFonts w:ascii="Arial" w:hAnsi="Arial" w:eastAsia="Arial" w:cs="Arial"/>
          <w:b w:val="0"/>
          <w:color w:val="000000"/>
          <w:sz w:val="22"/>
        </w:rPr>
        <w:t>Can the team inspect a failed quality check, see which conclusions it affects and reproduce a result from the same data and version?</w:t>
      </w:r>
    </w:p>
    <w:p>
      <w:r>
        <w:br w:type="page"/>
      </w:r>
    </w:p>
    <w:p>
      <w:pPr>
        <w:pStyle w:val="Heading1"/>
        <w:spacing w:before="0"/>
      </w:pPr>
      <w:r>
        <w:rPr>
          <w:sz w:val="38"/>
        </w:rPr>
        <w:t>Energy Balance and Virtual Metering</w:t>
      </w:r>
    </w:p>
    <w:p>
      <w:r>
        <w:rPr>
          <w:rFonts w:ascii="Arial" w:hAnsi="Arial" w:eastAsia="Arial" w:cs="Arial"/>
          <w:b w:val="0"/>
          <w:color w:val="000000"/>
          <w:sz w:val="22"/>
        </w:rPr>
        <w:t>The energy hierarchy connects the building total to its systems and makes incomplete coverage visible.</w:t>
      </w:r>
    </w:p>
    <w:p>
      <w:pPr>
        <w:pStyle w:val="Heading2"/>
      </w:pPr>
      <w:r>
        <w:t>Meter tree and balance</w:t>
      </w:r>
    </w:p>
    <w:p>
      <w:r>
        <w:rPr>
          <w:rFonts w:ascii="Arial" w:hAnsi="Arial" w:eastAsia="Arial" w:cs="Arial"/>
          <w:b w:val="0"/>
          <w:color w:val="000000"/>
          <w:sz w:val="22"/>
        </w:rPr>
        <w:t>The main method applies physical conservation to a meter tree. Parent and child meters are aligned by interval, units and boundary before their totals are compared. Known losses, unmetered loads and unexplained differences are kept separate.</w:t>
      </w:r>
    </w:p>
    <w:p>
      <w:r>
        <w:rPr>
          <w:rFonts w:ascii="Arial" w:hAnsi="Arial" w:eastAsia="Arial" w:cs="Arial"/>
          <w:b w:val="0"/>
          <w:color w:val="000000"/>
          <w:sz w:val="22"/>
        </w:rPr>
        <w:t>Where meter accuracy information is available, weighted least-squares reconciliation can calculate a consistent derived balance. It does not overwrite the original readings. The customer can inspect both the measured difference and the permitted adjustment.</w:t>
      </w:r>
    </w:p>
    <w:p>
      <w:pPr>
        <w:pStyle w:val="Heading2"/>
      </w:pPr>
      <w:r>
        <w:t>Virtual meters fill an analytical gap</w:t>
      </w:r>
    </w:p>
    <w:p>
      <w:r>
        <w:rPr>
          <w:rFonts w:ascii="Arial" w:hAnsi="Arial" w:eastAsia="Arial" w:cs="Arial"/>
          <w:b w:val="0"/>
          <w:color w:val="000000"/>
          <w:sz w:val="22"/>
        </w:rPr>
        <w:t>A virtual meter estimates a load using equipment information, operating state and a calibrated engineering model. Typical examples include fan or pump power associated with speed and operating mode. Temporary measurement or a trusted submeter can establish the calibration.</w:t>
      </w:r>
    </w:p>
    <w:p>
      <w:r>
        <w:rPr>
          <w:rFonts w:ascii="Arial" w:hAnsi="Arial" w:eastAsia="Arial" w:cs="Arial"/>
          <w:b w:val="0"/>
          <w:color w:val="000000"/>
          <w:sz w:val="22"/>
        </w:rPr>
        <w:t>Each estimate carries its method, input coverage, calibrated range and error information. This makes it useful for locating opportunities and deciding where permanent metering would add value. A virtual estimate and a physical meter reading are displayed differently.</w:t>
      </w:r>
    </w:p>
    <w:p>
      <w:pPr>
        <w:pStyle w:val="Heading2"/>
      </w:pPr>
      <w:r>
        <w:t>What the team can see</w:t>
      </w:r>
    </w:p>
    <w:p>
      <w:pPr>
        <w:pStyle w:val="ListBullet"/>
      </w:pPr>
      <w:r>
        <w:rPr>
          <w:rFonts w:ascii="Arial" w:hAnsi="Arial" w:eastAsia="Arial" w:cs="Arial"/>
          <w:b w:val="0"/>
          <w:color w:val="000000"/>
          <w:sz w:val="22"/>
        </w:rPr>
        <w:t>The total and relevant submeter hierarchy for electricity, water or cooling.</w:t>
      </w:r>
    </w:p>
    <w:p>
      <w:pPr>
        <w:pStyle w:val="ListBullet"/>
      </w:pPr>
      <w:r>
        <w:rPr>
          <w:rFonts w:ascii="Arial" w:hAnsi="Arial" w:eastAsia="Arial" w:cs="Arial"/>
          <w:b w:val="0"/>
          <w:color w:val="000000"/>
          <w:sz w:val="22"/>
        </w:rPr>
        <w:t>Measured coverage, estimated loads and the remaining unexplained balance.</w:t>
      </w:r>
    </w:p>
    <w:p>
      <w:pPr>
        <w:pStyle w:val="ListBullet"/>
      </w:pPr>
      <w:r>
        <w:rPr>
          <w:rFonts w:ascii="Arial" w:hAnsi="Arial" w:eastAsia="Arial" w:cs="Arial"/>
          <w:b w:val="0"/>
          <w:color w:val="000000"/>
          <w:sz w:val="22"/>
        </w:rPr>
        <w:t>A suspect meter, direction, scale or time alignment that needs inspection.</w:t>
      </w:r>
    </w:p>
    <w:p>
      <w:pPr>
        <w:pStyle w:val="ListBullet"/>
      </w:pPr>
      <w:r>
        <w:rPr>
          <w:rFonts w:ascii="Arial" w:hAnsi="Arial" w:eastAsia="Arial" w:cs="Arial"/>
          <w:b w:val="0"/>
          <w:color w:val="000000"/>
          <w:sz w:val="22"/>
        </w:rPr>
        <w:t>Energy-flow views and exports tied to the same period and boundary.</w:t>
      </w:r>
    </w:p>
    <w:p>
      <w:pPr>
        <w:pStyle w:val="Heading2"/>
      </w:pPr>
      <w:r>
        <w:t>Algorithm choices</w:t>
      </w:r>
    </w:p>
    <w:p>
      <w:r>
        <w:rPr>
          <w:rFonts w:ascii="Arial" w:hAnsi="Arial" w:eastAsia="Arial" w:cs="Arial"/>
          <w:b w:val="0"/>
          <w:color w:val="000000"/>
          <w:sz w:val="22"/>
        </w:rPr>
        <w:t>Main methods are topology-based conservation, weighted least squares and calibrated equipment engineering models. Alternatives include robust reconciliation, constrained Kalman filters and supervised gradient-boosting estimates. Non-intrusive load monitoring is a research or opportunity-discovery option rather than the default basis for formal savings.</w:t>
      </w:r>
    </w:p>
    <w:p>
      <w:r>
        <w:br w:type="page"/>
      </w:r>
    </w:p>
    <w:p>
      <w:pPr>
        <w:pStyle w:val="Heading1"/>
        <w:spacing w:before="0"/>
      </w:pPr>
      <w:r>
        <w:rPr>
          <w:sz w:val="38"/>
        </w:rPr>
        <w:t>Hybrid AI Architecture</w:t>
      </w:r>
    </w:p>
    <w:p>
      <w:r>
        <w:rPr>
          <w:rFonts w:ascii="Arial" w:hAnsi="Arial" w:eastAsia="Arial" w:cs="Arial"/>
          <w:b w:val="0"/>
          <w:color w:val="000000"/>
          <w:sz w:val="22"/>
        </w:rPr>
        <w:t>Stable energy calculations and flexible AI investigation have different roles and can operate on different time scales.</w:t>
      </w:r>
    </w:p>
    <w:p>
      <w:pPr>
        <w:pStyle w:val="Heading2"/>
      </w:pPr>
      <w:r>
        <w:t>Frequent professional analysis</w:t>
      </w:r>
    </w:p>
    <w:p>
      <w:r>
        <w:rPr>
          <w:rFonts w:ascii="Arial" w:hAnsi="Arial" w:eastAsia="Arial" w:cs="Arial"/>
          <w:b w:val="0"/>
          <w:color w:val="000000"/>
          <w:sz w:val="22"/>
        </w:rPr>
        <w:t>Engineering rules, physical models, statistics, machine learning and optimization perform repeatable calculation. Depending on the signal and site configuration, local analysis can run at approximately 1 to 15 minute intervals. The operating method does not require a cloud language model to evaluate every raw sample.</w:t>
      </w:r>
    </w:p>
    <w:p>
      <w:pPr>
        <w:pStyle w:val="Heading2"/>
      </w:pPr>
      <w:r>
        <w:t>Local small models and cloud models</w:t>
      </w:r>
    </w:p>
    <w:p>
      <w:r>
        <w:rPr>
          <w:rFonts w:ascii="Arial" w:hAnsi="Arial" w:eastAsia="Arial" w:cs="Arial"/>
          <w:b w:val="0"/>
          <w:color w:val="000000"/>
          <w:sz w:val="22"/>
        </w:rPr>
        <w:t>Local small models can handle sensitive, repetitive or low-latency classification, routing and summarization. A local or cloud large language model can investigate a significant event, answer a user question or prepare a daily or weekly review.</w:t>
      </w:r>
    </w:p>
    <w:p>
      <w:r>
        <w:rPr>
          <w:rFonts w:ascii="Arial" w:hAnsi="Arial" w:eastAsia="Arial" w:cs="Arial"/>
          <w:b w:val="0"/>
          <w:color w:val="000000"/>
          <w:sz w:val="22"/>
        </w:rPr>
        <w:t>A policy router considers the task, data classification, required capability, latency, cost and model health. Cloud context is normally limited to approved structured results, summaries, selected data windows and retrieved passages.</w:t>
      </w:r>
    </w:p>
    <w:p>
      <w:pPr>
        <w:pStyle w:val="Heading2"/>
      </w:pPr>
      <w:r>
        <w:t>A tool using Energy Orchestrator</w:t>
      </w:r>
    </w:p>
    <w:p>
      <w:r>
        <w:rPr>
          <w:rFonts w:ascii="Arial" w:hAnsi="Arial" w:eastAsia="Arial" w:cs="Arial"/>
          <w:b w:val="0"/>
          <w:color w:val="000000"/>
          <w:sz w:val="22"/>
        </w:rPr>
        <w:t>One user-facing Energy Orchestrator coordinates bounded professional tools. It interprets the request, prepares a short plan, checks permission, calls an analytical tool, observes its structured result and verifies the answer. Formal baseline, M&amp;V, SLA, forecast and financial values are referenced from versioned tool outputs.</w:t>
      </w:r>
    </w:p>
    <w:p>
      <w:pPr>
        <w:pStyle w:val="Heading2"/>
      </w:pPr>
      <w:r>
        <w:t>Human and site authority</w:t>
      </w:r>
    </w:p>
    <w:p>
      <w:r>
        <w:rPr>
          <w:rFonts w:ascii="Arial" w:hAnsi="Arial" w:eastAsia="Arial" w:cs="Arial"/>
          <w:b w:val="0"/>
          <w:color w:val="000000"/>
          <w:sz w:val="22"/>
        </w:rPr>
        <w:t>People approve formal performance objects and the intended operating changes. Existing site systems execute authorized changes and retain equipment protections. The language model can explain and prepare an action without becoming the final calculation authority or the equipment controller.</w:t>
      </w:r>
    </w:p>
    <w:p>
      <w:pPr>
        <w:pStyle w:val="Heading2"/>
      </w:pPr>
      <w:r>
        <w:t>Configured modules and acceptance</w:t>
      </w:r>
    </w:p>
    <w:p>
      <w:r>
        <w:rPr>
          <w:rFonts w:ascii="Arial" w:hAnsi="Arial" w:eastAsia="Arial" w:cs="Arial"/>
          <w:b w:val="0"/>
          <w:color w:val="000000"/>
          <w:sz w:val="22"/>
        </w:rPr>
        <w:t>Established platform, metering and analysis capabilities form the foundation. Advanced diagnosis, forecasting, optimization and agent workflows are introduced through an agreed project configuration, evaluation and acceptance plan. The proposal identifies the selected modules and their availability at each delivery stage.</w:t>
      </w:r>
    </w:p>
    <w:p>
      <w:r>
        <w:br w:type="page"/>
      </w:r>
    </w:p>
    <w:p>
      <w:pPr>
        <w:pStyle w:val="Heading1"/>
        <w:spacing w:before="0"/>
      </w:pPr>
      <w:r>
        <w:rPr>
          <w:sz w:val="38"/>
        </w:rPr>
        <w:t>The AI Energy Assistant</w:t>
      </w:r>
    </w:p>
    <w:p>
      <w:r>
        <w:rPr>
          <w:rFonts w:ascii="Arial" w:hAnsi="Arial" w:eastAsia="Arial" w:cs="Arial"/>
          <w:b w:val="0"/>
          <w:color w:val="000000"/>
          <w:sz w:val="22"/>
        </w:rPr>
        <w:t>The assistant helps the team complete energy work through evidence and professional tools, with the building and time scope visible.</w:t>
      </w:r>
    </w:p>
    <w:p>
      <w:pPr>
        <w:pStyle w:val="Heading2"/>
      </w:pPr>
      <w:r>
        <w:t>Useful requests</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24"/>
        <w:gridCol w:w="7056"/>
      </w:tblGrid>
      <w:tr>
        <w:trPr>
          <w:tblHeader/>
          <w:cantSplit/>
        </w:trPr>
        <w:tc>
          <w:tcPr>
            <w:tcW w:type="dxa" w:w="3024"/>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Request type</w:t>
            </w:r>
          </w:p>
        </w:tc>
        <w:tc>
          <w:tcPr>
            <w:tcW w:type="dxa" w:w="705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Example</w:t>
            </w:r>
          </w:p>
        </w:tc>
      </w:tr>
      <w:tr>
        <w:trPr>
          <w:cantSplit/>
        </w:trPr>
        <w:tc>
          <w:tcPr>
            <w:tcW w:type="dxa" w:w="302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Explain a metric</w:t>
            </w:r>
          </w:p>
        </w:tc>
        <w:tc>
          <w:tcPr>
            <w:tcW w:type="dxa" w:w="705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What caused yesterday’s baseline variance?</w:t>
            </w:r>
          </w:p>
        </w:tc>
      </w:tr>
      <w:tr>
        <w:trPr>
          <w:cantSplit/>
        </w:trPr>
        <w:tc>
          <w:tcPr>
            <w:tcW w:type="dxa" w:w="302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Investigate an anomaly</w:t>
            </w:r>
          </w:p>
        </w:tc>
        <w:tc>
          <w:tcPr>
            <w:tcW w:type="dxa" w:w="705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Why did Chiller 2 efficiency worsen after 14:00?</w:t>
            </w:r>
          </w:p>
        </w:tc>
      </w:tr>
      <w:tr>
        <w:trPr>
          <w:cantSplit/>
        </w:trPr>
        <w:tc>
          <w:tcPr>
            <w:tcW w:type="dxa" w:w="302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Compare trends and equipment</w:t>
            </w:r>
          </w:p>
        </w:tc>
        <w:tc>
          <w:tcPr>
            <w:tcW w:type="dxa" w:w="705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Compare AHU performance on similar working days.</w:t>
            </w:r>
          </w:p>
        </w:tc>
      </w:tr>
      <w:tr>
        <w:trPr>
          <w:cantSplit/>
        </w:trPr>
        <w:tc>
          <w:tcPr>
            <w:tcW w:type="dxa" w:w="302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Forecast</w:t>
            </w:r>
          </w:p>
        </w:tc>
        <w:tc>
          <w:tcPr>
            <w:tcW w:type="dxa" w:w="705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What is tomorrow’s likely peak demand and its uncertainty?</w:t>
            </w:r>
          </w:p>
        </w:tc>
      </w:tr>
      <w:tr>
        <w:trPr>
          <w:cantSplit/>
        </w:trPr>
        <w:tc>
          <w:tcPr>
            <w:tcW w:type="dxa" w:w="302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Run a scenario</w:t>
            </w:r>
          </w:p>
        </w:tc>
        <w:tc>
          <w:tcPr>
            <w:tcW w:type="dxa" w:w="705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What if the approved chilled-water supply target changes?</w:t>
            </w:r>
          </w:p>
        </w:tc>
      </w:tr>
      <w:tr>
        <w:trPr>
          <w:cantSplit/>
        </w:trPr>
        <w:tc>
          <w:tcPr>
            <w:tcW w:type="dxa" w:w="302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Recommend a measure</w:t>
            </w:r>
          </w:p>
        </w:tc>
        <w:tc>
          <w:tcPr>
            <w:tcW w:type="dxa" w:w="705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Rank low-cost actions for this week.</w:t>
            </w:r>
          </w:p>
        </w:tc>
      </w:tr>
      <w:tr>
        <w:trPr>
          <w:cantSplit/>
        </w:trPr>
        <w:tc>
          <w:tcPr>
            <w:tcW w:type="dxa" w:w="302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Prepare an intent</w:t>
            </w:r>
          </w:p>
        </w:tc>
        <w:tc>
          <w:tcPr>
            <w:tcW w:type="dxa" w:w="705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Draft a sequencing intent for the approved operating envelope.</w:t>
            </w:r>
          </w:p>
        </w:tc>
      </w:tr>
      <w:tr>
        <w:trPr>
          <w:cantSplit/>
        </w:trPr>
        <w:tc>
          <w:tcPr>
            <w:tcW w:type="dxa" w:w="302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Review M&amp;V or SLA</w:t>
            </w:r>
          </w:p>
        </w:tc>
        <w:tc>
          <w:tcPr>
            <w:tcW w:type="dxa" w:w="705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Prepare this month’s performance record for review.</w:t>
            </w:r>
          </w:p>
        </w:tc>
      </w:tr>
      <w:tr>
        <w:trPr>
          <w:cantSplit/>
        </w:trPr>
        <w:tc>
          <w:tcPr>
            <w:tcW w:type="dxa" w:w="302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Draft a report</w:t>
            </w:r>
          </w:p>
        </w:tc>
        <w:tc>
          <w:tcPr>
            <w:tcW w:type="dxa" w:w="705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Summarize the open Energy Actions and their evidence.</w:t>
            </w:r>
          </w:p>
        </w:tc>
      </w:tr>
      <w:tr>
        <w:trPr>
          <w:cantSplit/>
        </w:trPr>
        <w:tc>
          <w:tcPr>
            <w:tcW w:type="dxa" w:w="302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Retrieve knowledge</w:t>
            </w:r>
          </w:p>
        </w:tc>
        <w:tc>
          <w:tcPr>
            <w:tcW w:type="dxa" w:w="705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What is the approved rule for this equipment?</w:t>
            </w:r>
          </w:p>
        </w:tc>
      </w:tr>
    </w:tbl>
    <w:p>
      <w:pPr>
        <w:spacing w:after="0"/>
      </w:pPr>
    </w:p>
    <w:p>
      <w:pPr>
        <w:pStyle w:val="Heading2"/>
      </w:pPr>
      <w:r>
        <w:t>A useful answer structure</w:t>
      </w:r>
    </w:p>
    <w:p>
      <w:r>
        <w:rPr>
          <w:rFonts w:ascii="Arial" w:hAnsi="Arial" w:eastAsia="Arial" w:cs="Arial"/>
          <w:b w:val="0"/>
          <w:color w:val="000000"/>
          <w:sz w:val="22"/>
        </w:rPr>
        <w:t>The answer starts with the conclusion and required action, then identifies the building, equipment, period and data freshness. It links the evidence, explains material assumptions and presents the relevant interval or verification status. The final step is a validation plan or an approvable draft.</w:t>
      </w:r>
    </w:p>
    <w:p>
      <w:pPr>
        <w:pStyle w:val="Heading2"/>
      </w:pPr>
      <w:r>
        <w:t>Work that can be resumed</w:t>
      </w:r>
    </w:p>
    <w:p>
      <w:r>
        <w:rPr>
          <w:rFonts w:ascii="Arial" w:hAnsi="Arial" w:eastAsia="Arial" w:cs="Arial"/>
          <w:b w:val="0"/>
          <w:color w:val="000000"/>
          <w:sz w:val="22"/>
        </w:rPr>
        <w:t>A complex investigation can retain the task, completed tool steps, evidence, open questions and draft. On resumption, the system checks current data and permissions. The user sees the plan and tool activity rather than needing to interpret hidden model reasoning.</w:t>
      </w:r>
    </w:p>
    <w:p>
      <w:pPr>
        <w:pStyle w:val="Heading2"/>
      </w:pPr>
      <w:r>
        <w:t>Focused proactive review</w:t>
      </w:r>
    </w:p>
    <w:p>
      <w:r>
        <w:rPr>
          <w:rFonts w:ascii="Arial" w:hAnsi="Arial" w:eastAsia="Arial" w:cs="Arial"/>
          <w:b w:val="0"/>
          <w:color w:val="000000"/>
          <w:sz w:val="22"/>
        </w:rPr>
        <w:t>High-impact events, daily summaries and weekly action reviews can be configured for the relevant roles. Duplicate findings are grouped, and notification frequency is agreed so the team’s attention stays on actionable issues.</w:t>
      </w:r>
    </w:p>
    <w:p>
      <w:r>
        <w:br w:type="page"/>
      </w:r>
    </w:p>
    <w:p>
      <w:pPr>
        <w:pStyle w:val="Heading1"/>
        <w:spacing w:before="0"/>
      </w:pPr>
      <w:r>
        <w:rPr>
          <w:sz w:val="38"/>
        </w:rPr>
        <w:t>Investigation and Evidence</w:t>
      </w:r>
    </w:p>
    <w:p>
      <w:r>
        <w:rPr>
          <w:rFonts w:ascii="Arial" w:hAnsi="Arial" w:eastAsia="Arial" w:cs="Arial"/>
          <w:b w:val="0"/>
          <w:color w:val="000000"/>
          <w:sz w:val="22"/>
        </w:rPr>
        <w:t>A diagnosis is useful when the operator can test it and connect it to an improvement.</w:t>
      </w:r>
    </w:p>
    <w:p>
      <w:pPr>
        <w:pStyle w:val="Heading2"/>
      </w:pPr>
      <w:r>
        <w:t>From exception to possible cause</w:t>
      </w:r>
    </w:p>
    <w:p>
      <w:r>
        <w:rPr>
          <w:rFonts w:ascii="Arial" w:hAnsi="Arial" w:eastAsia="Arial" w:cs="Arial"/>
          <w:b w:val="0"/>
          <w:color w:val="000000"/>
          <w:sz w:val="22"/>
        </w:rPr>
        <w:t>Local detectors combine engineering rules, dynamic thresholds, model residuals, change points and peer comparisons. Related signals are grouped by equipment, time and fault signature to reduce duplicate alerts. Severity, evidence strength and energy impact remain separate.</w:t>
      </w:r>
    </w:p>
    <w:p>
      <w:r>
        <w:rPr>
          <w:rFonts w:ascii="Arial" w:hAnsi="Arial" w:eastAsia="Arial" w:cs="Arial"/>
          <w:b w:val="0"/>
          <w:color w:val="000000"/>
          <w:sz w:val="22"/>
        </w:rPr>
        <w:t>The diagnostic method uses system relationships, fault signatures and engineering evidence to rank several possible causes. Supporting evidence, counter-evidence and missing information are shown for each hypothesis. The assistant retrieves relevant records and helps assemble a practical validation plan.</w:t>
      </w:r>
    </w:p>
    <w:p>
      <w:pPr>
        <w:pStyle w:val="Heading2"/>
      </w:pPr>
      <w:r>
        <w:t>Example chiller investigation</w:t>
      </w:r>
    </w:p>
    <w:p>
      <w:r>
        <w:rPr>
          <w:rFonts w:ascii="Arial" w:hAnsi="Arial" w:eastAsia="Arial" w:cs="Arial"/>
          <w:b w:val="0"/>
          <w:color w:val="000000"/>
          <w:sz w:val="22"/>
        </w:rPr>
        <w:t>If kW per refrigeration ton rises after 14:00, the investigation first checks whether power, flow and temperature difference are trustworthy. It then compares load, condenser conditions, equipment staging and performance against a healthy curve.</w:t>
      </w:r>
    </w:p>
    <w:p>
      <w:r>
        <w:rPr>
          <w:rFonts w:ascii="Arial" w:hAnsi="Arial" w:eastAsia="Arial" w:cs="Arial"/>
          <w:b w:val="0"/>
          <w:color w:val="000000"/>
          <w:sz w:val="22"/>
        </w:rPr>
        <w:t>A flow sensor problem, poor cooling-tower performance, a low-load operating pattern or equipment degradation can create different evidence patterns. The facilities team confirms observations through low-risk inspection or an approved test. The confirmed finding becomes an Energy Action with a verification window.</w:t>
      </w:r>
    </w:p>
    <w:p>
      <w:pPr>
        <w:pStyle w:val="Heading2"/>
      </w:pPr>
      <w:r>
        <w:t>Evidence follows the conclusion</w:t>
      </w:r>
    </w:p>
    <w:p>
      <w:r>
        <w:rPr>
          <w:rFonts w:ascii="Arial" w:hAnsi="Arial" w:eastAsia="Arial" w:cs="Arial"/>
          <w:b w:val="0"/>
          <w:color w:val="000000"/>
          <w:sz w:val="22"/>
        </w:rPr>
        <w:t>Numerical claims reference a professional tool result and its units, equipment, period and version. Engineering conclusions reference trends, rule triggers, equipment documents or confirmed site evidence. Unresolved causes retain their verification status until the relevant check is complete.</w:t>
      </w:r>
    </w:p>
    <w:p>
      <w:pPr>
        <w:pStyle w:val="Heading2"/>
      </w:pPr>
      <w:r>
        <w:t>Main and alternative methods</w:t>
      </w:r>
    </w:p>
    <w:p>
      <w:r>
        <w:rPr>
          <w:rFonts w:ascii="Arial" w:hAnsi="Arial" w:eastAsia="Arial" w:cs="Arial"/>
          <w:b w:val="0"/>
          <w:color w:val="000000"/>
          <w:sz w:val="22"/>
        </w:rPr>
        <w:t>The main route combines causal topology, a fault-signature library and Bayesian-style evidence scoring. Bayesian networks, knowledge-graph reasoning or a supervised fault classifier are alternatives where their structure and training evidence are suitable. Language-model explanation accompanies the analytical evidence.</w:t>
      </w:r>
    </w:p>
    <w:p>
      <w:r>
        <w:br w:type="page"/>
      </w:r>
    </w:p>
    <w:p>
      <w:pPr>
        <w:pStyle w:val="Heading1"/>
        <w:spacing w:before="0"/>
      </w:pPr>
      <w:r>
        <w:rPr>
          <w:sz w:val="38"/>
        </w:rPr>
        <w:t>Equipment Model Packs</w:t>
      </w:r>
    </w:p>
    <w:p>
      <w:r>
        <w:rPr>
          <w:rFonts w:ascii="Arial" w:hAnsi="Arial" w:eastAsia="Arial" w:cs="Arial"/>
          <w:b w:val="0"/>
          <w:color w:val="000000"/>
          <w:sz w:val="22"/>
        </w:rPr>
        <w:t>A Model Pack fixes the engineering method for an equipment category and calibrates it to the actual site.</w:t>
      </w:r>
    </w:p>
    <w:p>
      <w:pPr>
        <w:pStyle w:val="Heading2"/>
      </w:pPr>
      <w:r>
        <w:t>Reuse without ignoring site differences</w:t>
      </w:r>
    </w:p>
    <w:p>
      <w:r>
        <w:rPr>
          <w:rFonts w:ascii="Arial" w:hAnsi="Arial" w:eastAsia="Arial" w:cs="Arial"/>
          <w:b w:val="0"/>
          <w:color w:val="000000"/>
          <w:sz w:val="22"/>
        </w:rPr>
        <w:t>The pack includes object and point semantics, physical constraints, selected features, engineering rules, main and alternative algorithms, calibration parameters, diagnostic templates and acceptance tests. A site instance selects the equipment subtype and available data, then calibrates the permitted parameters.</w:t>
      </w:r>
    </w:p>
    <w:p>
      <w:r>
        <w:rPr>
          <w:rFonts w:ascii="Arial" w:hAnsi="Arial" w:eastAsia="Arial" w:cs="Arial"/>
          <w:b w:val="0"/>
          <w:color w:val="000000"/>
          <w:sz w:val="22"/>
        </w:rPr>
        <w:t>This avoids maintaining unrelated software for every chiller, pump or AHU. It also avoids assuming that one universal black-box model can represent different equipment physics and sensor coverage.</w:t>
      </w:r>
    </w:p>
    <w:p>
      <w:pPr>
        <w:pStyle w:val="Heading2"/>
      </w:pPr>
      <w:r>
        <w:t>Seven equipment and building categories</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744"/>
        <w:gridCol w:w="6336"/>
      </w:tblGrid>
      <w:tr>
        <w:trPr>
          <w:tblHeader/>
          <w:cantSplit/>
        </w:trPr>
        <w:tc>
          <w:tcPr>
            <w:tcW w:type="dxa" w:w="3744"/>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Model Pack</w:t>
            </w:r>
          </w:p>
        </w:tc>
        <w:tc>
          <w:tcPr>
            <w:tcW w:type="dxa" w:w="633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Analytical purpose</w:t>
            </w:r>
          </w:p>
        </w:tc>
      </w:tr>
      <w:tr>
        <w:trPr>
          <w:cantSplit/>
        </w:trPr>
        <w:tc>
          <w:tcPr>
            <w:tcW w:type="dxa" w:w="374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Whole Building and Main Meter</w:t>
            </w:r>
          </w:p>
        </w:tc>
        <w:tc>
          <w:tcPr>
            <w:tcW w:type="dxa" w:w="633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Energy balance, baseline, forecast and M&amp;V</w:t>
            </w:r>
          </w:p>
        </w:tc>
      </w:tr>
      <w:tr>
        <w:trPr>
          <w:cantSplit/>
        </w:trPr>
        <w:tc>
          <w:tcPr>
            <w:tcW w:type="dxa" w:w="374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Chiller</w:t>
            </w:r>
          </w:p>
        </w:tc>
        <w:tc>
          <w:tcPr>
            <w:tcW w:type="dxa" w:w="633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Cooling efficiency, performance drift and staging opportunity</w:t>
            </w:r>
          </w:p>
        </w:tc>
      </w:tr>
      <w:tr>
        <w:trPr>
          <w:cantSplit/>
        </w:trPr>
        <w:tc>
          <w:tcPr>
            <w:tcW w:type="dxa" w:w="374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Chilled and Condenser Water Pumps</w:t>
            </w:r>
          </w:p>
        </w:tc>
        <w:tc>
          <w:tcPr>
            <w:tcW w:type="dxa" w:w="633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Hydraulic performance and parallel-pump opportunity</w:t>
            </w:r>
          </w:p>
        </w:tc>
      </w:tr>
      <w:tr>
        <w:trPr>
          <w:cantSplit/>
        </w:trPr>
        <w:tc>
          <w:tcPr>
            <w:tcW w:type="dxa" w:w="374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Cooling Tower</w:t>
            </w:r>
          </w:p>
        </w:tc>
        <w:tc>
          <w:tcPr>
            <w:tcW w:type="dxa" w:w="633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Approach, wet-bulb response and plant coordination</w:t>
            </w:r>
          </w:p>
        </w:tc>
      </w:tr>
      <w:tr>
        <w:trPr>
          <w:cantSplit/>
        </w:trPr>
        <w:tc>
          <w:tcPr>
            <w:tcW w:type="dxa" w:w="374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AHU</w:t>
            </w:r>
          </w:p>
        </w:tc>
        <w:tc>
          <w:tcPr>
            <w:tcW w:type="dxa" w:w="633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Air processes, operating sequence and response</w:t>
            </w:r>
          </w:p>
        </w:tc>
      </w:tr>
      <w:tr>
        <w:trPr>
          <w:cantSplit/>
        </w:trPr>
        <w:tc>
          <w:tcPr>
            <w:tcW w:type="dxa" w:w="374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Fresh and Exhaust Air</w:t>
            </w:r>
          </w:p>
        </w:tc>
        <w:tc>
          <w:tcPr>
            <w:tcW w:type="dxa" w:w="633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Schedule, ventilation demand and balance</w:t>
            </w:r>
          </w:p>
        </w:tc>
      </w:tr>
      <w:tr>
        <w:trPr>
          <w:cantSplit/>
        </w:trPr>
        <w:tc>
          <w:tcPr>
            <w:tcW w:type="dxa" w:w="374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Common Area Terminals</w:t>
            </w:r>
          </w:p>
        </w:tc>
        <w:tc>
          <w:tcPr>
            <w:tcW w:type="dxa" w:w="633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Thermal response, comfort and operating anomalies</w:t>
            </w:r>
          </w:p>
        </w:tc>
      </w:tr>
    </w:tbl>
    <w:p>
      <w:pPr>
        <w:spacing w:after="0"/>
      </w:pPr>
    </w:p>
    <w:p>
      <w:pPr>
        <w:pStyle w:val="Heading2"/>
      </w:pPr>
      <w:r>
        <w:t>Match analytical depth to readiness</w:t>
      </w:r>
    </w:p>
    <w:p>
      <w:r>
        <w:rPr>
          <w:rFonts w:ascii="Arial" w:hAnsi="Arial" w:eastAsia="Arial" w:cs="Arial"/>
          <w:b w:val="0"/>
          <w:color w:val="000000"/>
          <w:sz w:val="22"/>
        </w:rPr>
        <w:t>Tier 0 provides rules and basic performance indicators. Tier 1 adds physical or statistical models where the inputs are sufficient. Tier 2 adds machine learning or optimization after calibration and evaluation. A building can start with the useful available tier and a targeted measurement plan.</w:t>
      </w:r>
    </w:p>
    <w:p>
      <w:pPr>
        <w:pStyle w:val="Heading2"/>
      </w:pPr>
      <w:r>
        <w:t>What to inspect in a pack</w:t>
      </w:r>
    </w:p>
    <w:p>
      <w:r>
        <w:rPr>
          <w:rFonts w:ascii="Arial" w:hAnsi="Arial" w:eastAsia="Arial" w:cs="Arial"/>
          <w:b w:val="0"/>
          <w:color w:val="000000"/>
          <w:sz w:val="22"/>
        </w:rPr>
        <w:t>Ask which points are required, what the calibrated operating range is, which outputs are measured or estimated, how false alerts are reviewed and how the pack is tested before production use. The project acceptance record identifies the selected version and equipment coverage.</w:t>
      </w:r>
    </w:p>
    <w:p>
      <w:r>
        <w:br w:type="page"/>
      </w:r>
    </w:p>
    <w:p>
      <w:pPr>
        <w:pStyle w:val="Heading1"/>
        <w:spacing w:before="0"/>
      </w:pPr>
      <w:r>
        <w:rPr>
          <w:sz w:val="38"/>
        </w:rPr>
        <w:t>Chiller and Cooling Plant Analysis</w:t>
      </w:r>
    </w:p>
    <w:p>
      <w:r>
        <w:rPr>
          <w:rFonts w:ascii="Arial" w:hAnsi="Arial" w:eastAsia="Arial" w:cs="Arial"/>
          <w:b w:val="0"/>
          <w:color w:val="000000"/>
          <w:sz w:val="22"/>
        </w:rPr>
        <w:t>Review the whole operating plant while keeping each chiller’s measurement and equipment conditions explicit.</w:t>
      </w:r>
    </w:p>
    <w:p>
      <w:pPr>
        <w:pStyle w:val="Heading2"/>
      </w:pPr>
      <w:r>
        <w:t>Efficiency under comparable conditions</w:t>
      </w:r>
    </w:p>
    <w:p>
      <w:r>
        <w:rPr>
          <w:rFonts w:ascii="Arial" w:hAnsi="Arial" w:eastAsia="Arial" w:cs="Arial"/>
          <w:b w:val="0"/>
          <w:color w:val="000000"/>
          <w:sz w:val="22"/>
        </w:rPr>
        <w:t>Cooling load is calculated from qualified flow and chilled-water supply and return temperatures. Electrical power and cooling load provide the Coefficient of Performance (COP) or kW per refrigeration ton where the required measurement is available.</w:t>
      </w:r>
    </w:p>
    <w:p>
      <w:r>
        <w:rPr>
          <w:rFonts w:ascii="Arial" w:hAnsi="Arial" w:eastAsia="Arial" w:cs="Arial"/>
          <w:b w:val="0"/>
          <w:color w:val="000000"/>
          <w:sz w:val="22"/>
        </w:rPr>
        <w:t>A chiller’s expected power changes with load and cooling conditions. The main model uses a constrained performance curve or load bins calibrated from manufacturer information and suitable healthy operation. Comparing like-for-like conditions helps separate normal part-load behavior from persistent performance drift.</w:t>
      </w:r>
    </w:p>
    <w:p>
      <w:pPr>
        <w:pStyle w:val="Heading2"/>
      </w:pPr>
      <w:r>
        <w:t>Useful operating findings</w:t>
      </w:r>
    </w:p>
    <w:p>
      <w:pPr>
        <w:pStyle w:val="ListBullet"/>
      </w:pPr>
      <w:r>
        <w:rPr>
          <w:rFonts w:ascii="Arial" w:hAnsi="Arial" w:eastAsia="Arial" w:cs="Arial"/>
          <w:b w:val="0"/>
          <w:color w:val="000000"/>
          <w:sz w:val="22"/>
        </w:rPr>
        <w:t>Low-load operation or an inefficient combination of available chillers.</w:t>
      </w:r>
    </w:p>
    <w:p>
      <w:pPr>
        <w:pStyle w:val="ListBullet"/>
      </w:pPr>
      <w:r>
        <w:rPr>
          <w:rFonts w:ascii="Arial" w:hAnsi="Arial" w:eastAsia="Arial" w:cs="Arial"/>
          <w:b w:val="0"/>
          <w:color w:val="000000"/>
          <w:sz w:val="22"/>
        </w:rPr>
        <w:t>High lift or condenser-water conditions that affect plant power.</w:t>
      </w:r>
    </w:p>
    <w:p>
      <w:pPr>
        <w:pStyle w:val="ListBullet"/>
      </w:pPr>
      <w:r>
        <w:rPr>
          <w:rFonts w:ascii="Arial" w:hAnsi="Arial" w:eastAsia="Arial" w:cs="Arial"/>
          <w:b w:val="0"/>
          <w:color w:val="000000"/>
          <w:sz w:val="22"/>
        </w:rPr>
        <w:t>Low temperature difference, measurement error or flow problems.</w:t>
      </w:r>
    </w:p>
    <w:p>
      <w:pPr>
        <w:pStyle w:val="ListBullet"/>
      </w:pPr>
      <w:r>
        <w:rPr>
          <w:rFonts w:ascii="Arial" w:hAnsi="Arial" w:eastAsia="Arial" w:cs="Arial"/>
          <w:b w:val="0"/>
          <w:color w:val="000000"/>
          <w:sz w:val="22"/>
        </w:rPr>
        <w:t>Frequent starts, short cycles and operation outside the intended range.</w:t>
      </w:r>
    </w:p>
    <w:p>
      <w:pPr>
        <w:pStyle w:val="ListBullet"/>
      </w:pPr>
      <w:r>
        <w:rPr>
          <w:rFonts w:ascii="Arial" w:hAnsi="Arial" w:eastAsia="Arial" w:cs="Arial"/>
          <w:b w:val="0"/>
          <w:color w:val="000000"/>
          <w:sz w:val="22"/>
        </w:rPr>
        <w:t>Differences between comparable machines under similar conditions.</w:t>
      </w:r>
    </w:p>
    <w:p>
      <w:pPr>
        <w:pStyle w:val="Heading2"/>
      </w:pPr>
      <w:r>
        <w:t>Plant level recommendations</w:t>
      </w:r>
    </w:p>
    <w:p>
      <w:r>
        <w:rPr>
          <w:rFonts w:ascii="Arial" w:hAnsi="Arial" w:eastAsia="Arial" w:cs="Arial"/>
          <w:b w:val="0"/>
          <w:color w:val="000000"/>
          <w:sz w:val="22"/>
        </w:rPr>
        <w:t>Staging and setpoint scenarios consider chiller power together with pumping, towers, required capacity and redundancy. The recommendation states the equipment and operating range it covers, its expected effect and the conditions to verify. Execution is handled by the approved site-control arrangement.</w:t>
      </w:r>
    </w:p>
    <w:p>
      <w:pPr>
        <w:pStyle w:val="Heading2"/>
      </w:pPr>
      <w:r>
        <w:t>Algorithm choices</w:t>
      </w:r>
    </w:p>
    <w:p>
      <w:r>
        <w:rPr>
          <w:rFonts w:ascii="Arial" w:hAnsi="Arial" w:eastAsia="Arial" w:cs="Arial"/>
          <w:b w:val="0"/>
          <w:color w:val="000000"/>
          <w:sz w:val="22"/>
        </w:rPr>
        <w:t>Main methods are cooling energy balance, COP or kW per ton calculation, constrained regression and performance binning. Gordon-Ng or other thermodynamic grey-box models are alternatives with suitable machine and temperature information. Manufacturer curves and gradient boosting can support specific cases.</w:t>
      </w:r>
    </w:p>
    <w:p>
      <w:pPr>
        <w:pStyle w:val="Heading2"/>
      </w:pPr>
      <w:r>
        <w:t>Readiness check</w:t>
      </w:r>
    </w:p>
    <w:p>
      <w:r>
        <w:rPr>
          <w:rFonts w:ascii="Arial" w:hAnsi="Arial" w:eastAsia="Arial" w:cs="Arial"/>
          <w:b w:val="0"/>
          <w:color w:val="000000"/>
          <w:sz w:val="22"/>
        </w:rPr>
        <w:t>Confirm synchronized power, flow or cooling quantity, temperatures, state and load information. Where flow is absent, the assessment can define a temporary measurement or an explicitly estimated analytical tier before claiming an exact efficiency figure.</w:t>
      </w:r>
    </w:p>
    <w:p>
      <w:r>
        <w:br w:type="page"/>
      </w:r>
    </w:p>
    <w:p>
      <w:pPr>
        <w:pStyle w:val="Heading1"/>
        <w:spacing w:before="0"/>
      </w:pPr>
      <w:r>
        <w:rPr>
          <w:sz w:val="38"/>
        </w:rPr>
        <w:t>Pumps and Cooling Towers</w:t>
      </w:r>
    </w:p>
    <w:p>
      <w:r>
        <w:rPr>
          <w:rFonts w:ascii="Arial" w:hAnsi="Arial" w:eastAsia="Arial" w:cs="Arial"/>
          <w:b w:val="0"/>
          <w:color w:val="000000"/>
          <w:sz w:val="22"/>
        </w:rPr>
        <w:t>Pumping and heat rejection should be assessed as part of the cooling system, not as isolated power reductions.</w:t>
      </w:r>
    </w:p>
    <w:p>
      <w:pPr>
        <w:pStyle w:val="Heading2"/>
      </w:pPr>
      <w:r>
        <w:t>Pumping performance</w:t>
      </w:r>
    </w:p>
    <w:p>
      <w:r>
        <w:rPr>
          <w:rFonts w:ascii="Arial" w:hAnsi="Arial" w:eastAsia="Arial" w:cs="Arial"/>
          <w:b w:val="0"/>
          <w:color w:val="000000"/>
          <w:sz w:val="22"/>
        </w:rPr>
        <w:t>Pump analysis uses the affinity laws, system curves and site calibration. Where flow, head or pressure difference and power are available, it can assess hydraulic efficiency. Speed, valve positions, bypass conditions and parallel-pump combinations help explain the operating pattern.</w:t>
      </w:r>
    </w:p>
    <w:p>
      <w:r>
        <w:rPr>
          <w:rFonts w:ascii="Arial" w:hAnsi="Arial" w:eastAsia="Arial" w:cs="Arial"/>
          <w:b w:val="0"/>
          <w:color w:val="000000"/>
          <w:sz w:val="22"/>
        </w:rPr>
        <w:t>The improvement review can compare pressure reset, variable-speed operation, staging, balancing and equipment changes. Minimum flow, critical end-point pressure and redundancy are included in the constraints. With less measurement, the useful starting tier is speed, power and state analysis.</w:t>
      </w:r>
    </w:p>
    <w:p>
      <w:pPr>
        <w:pStyle w:val="Heading2"/>
      </w:pPr>
      <w:r>
        <w:t>Cooling tower performance</w:t>
      </w:r>
    </w:p>
    <w:p>
      <w:r>
        <w:rPr>
          <w:rFonts w:ascii="Arial" w:hAnsi="Arial" w:eastAsia="Arial" w:cs="Arial"/>
          <w:b w:val="0"/>
          <w:color w:val="000000"/>
          <w:sz w:val="22"/>
        </w:rPr>
        <w:t>Tower analysis examines water temperature range and approach to outdoor wet-bulb temperature, together with fan operation and load. Binning or a constrained statistical model creates a comparable healthy operating envelope.</w:t>
      </w:r>
    </w:p>
    <w:p>
      <w:r>
        <w:rPr>
          <w:rFonts w:ascii="Arial" w:hAnsi="Arial" w:eastAsia="Arial" w:cs="Arial"/>
          <w:b w:val="0"/>
          <w:color w:val="000000"/>
          <w:sz w:val="22"/>
        </w:rPr>
        <w:t>The lowest tower leaving-water temperature is not automatically the lowest plant energy. The scenario considers the tower fan and pumping effort alongside the chiller’s response to condenser conditions. This can identify a more useful operating target.</w:t>
      </w:r>
    </w:p>
    <w:p>
      <w:pPr>
        <w:pStyle w:val="Heading2"/>
      </w:pPr>
      <w:r>
        <w:t>Main and alternative methods</w:t>
      </w:r>
    </w:p>
    <w:p>
      <w:r>
        <w:rPr>
          <w:rFonts w:ascii="Arial" w:hAnsi="Arial" w:eastAsia="Arial" w:cs="Arial"/>
          <w:b w:val="0"/>
          <w:color w:val="000000"/>
          <w:sz w:val="22"/>
        </w:rPr>
        <w:t>Pumps use affinity laws with calibrated hydraulic or system curves. Constrained polynomial regression, gradient boosting or a specialist hydraulic network model are alternatives. Cooling towers use range, approach and wet-bulb normalization; Merkel or NTU models and constrained GAM or gradient-boosting models can be evaluated when inputs support them.</w:t>
      </w:r>
    </w:p>
    <w:p>
      <w:pPr>
        <w:pStyle w:val="Heading2"/>
      </w:pPr>
      <w:r>
        <w:t>Site checks that improve the result</w:t>
      </w:r>
    </w:p>
    <w:p>
      <w:pPr>
        <w:pStyle w:val="ListBullet"/>
      </w:pPr>
      <w:r>
        <w:rPr>
          <w:rFonts w:ascii="Arial" w:hAnsi="Arial" w:eastAsia="Arial" w:cs="Arial"/>
          <w:b w:val="0"/>
          <w:color w:val="000000"/>
          <w:sz w:val="22"/>
        </w:rPr>
        <w:t>Validate sensor offsets, point locations and synchronized sampling.</w:t>
      </w:r>
    </w:p>
    <w:p>
      <w:pPr>
        <w:pStyle w:val="ListBullet"/>
      </w:pPr>
      <w:r>
        <w:rPr>
          <w:rFonts w:ascii="Arial" w:hAnsi="Arial" w:eastAsia="Arial" w:cs="Arial"/>
          <w:b w:val="0"/>
          <w:color w:val="000000"/>
          <w:sz w:val="22"/>
        </w:rPr>
        <w:t>Confirm bypass and valve behavior rather than inferring flow from a command alone.</w:t>
      </w:r>
    </w:p>
    <w:p>
      <w:pPr>
        <w:pStyle w:val="ListBullet"/>
      </w:pPr>
      <w:r>
        <w:rPr>
          <w:rFonts w:ascii="Arial" w:hAnsi="Arial" w:eastAsia="Arial" w:cs="Arial"/>
          <w:b w:val="0"/>
          <w:color w:val="000000"/>
          <w:sz w:val="22"/>
        </w:rPr>
        <w:t>Record tower combinations and the load or flow information used for comparison.</w:t>
      </w:r>
    </w:p>
    <w:p>
      <w:pPr>
        <w:pStyle w:val="ListBullet"/>
      </w:pPr>
      <w:r>
        <w:rPr>
          <w:rFonts w:ascii="Arial" w:hAnsi="Arial" w:eastAsia="Arial" w:cs="Arial"/>
          <w:b w:val="0"/>
          <w:color w:val="000000"/>
          <w:sz w:val="22"/>
        </w:rPr>
        <w:t>Verify the suggested operating range with the engineering and equipment teams.</w:t>
      </w:r>
    </w:p>
    <w:p>
      <w:r>
        <w:br w:type="page"/>
      </w:r>
    </w:p>
    <w:p>
      <w:pPr>
        <w:pStyle w:val="Heading1"/>
        <w:spacing w:before="0"/>
      </w:pPr>
      <w:r>
        <w:rPr>
          <w:sz w:val="38"/>
        </w:rPr>
        <w:t>Air Handling Ventilation and Common Areas</w:t>
      </w:r>
    </w:p>
    <w:p>
      <w:r>
        <w:rPr>
          <w:rFonts w:ascii="Arial" w:hAnsi="Arial" w:eastAsia="Arial" w:cs="Arial"/>
          <w:b w:val="0"/>
          <w:color w:val="000000"/>
          <w:sz w:val="22"/>
        </w:rPr>
        <w:t>Airside decisions connect plant operation with occupied-space conditions and the building’s ventilation needs.</w:t>
      </w:r>
    </w:p>
    <w:p>
      <w:pPr>
        <w:pStyle w:val="Heading2"/>
      </w:pPr>
      <w:r>
        <w:t>AHU performance and sequence</w:t>
      </w:r>
    </w:p>
    <w:p>
      <w:r>
        <w:rPr>
          <w:rFonts w:ascii="Arial" w:hAnsi="Arial" w:eastAsia="Arial" w:cs="Arial"/>
          <w:b w:val="0"/>
          <w:color w:val="000000"/>
          <w:sz w:val="22"/>
        </w:rPr>
        <w:t>The AHU Model Pack combines psychrometric relationships, mass and energy balance, operating-sequence rules and response analysis. It can investigate after-hours operation, supply-temperature response, static-pressure reset, valve behavior, mixed-air conditions and simultaneous heating and cooling.</w:t>
      </w:r>
    </w:p>
    <w:p>
      <w:r>
        <w:rPr>
          <w:rFonts w:ascii="Arial" w:hAnsi="Arial" w:eastAsia="Arial" w:cs="Arial"/>
          <w:b w:val="0"/>
          <w:color w:val="000000"/>
          <w:sz w:val="22"/>
        </w:rPr>
        <w:t>The interface relates airside evidence to upstream cooling conditions and common-area response. Available temperature, humidity, fan, pressure, valve and schedule signals determine the selected analytical tier. Detailed cooling-duty estimates require the appropriate measurement.</w:t>
      </w:r>
    </w:p>
    <w:p>
      <w:pPr>
        <w:pStyle w:val="Heading2"/>
      </w:pPr>
      <w:r>
        <w:t>Fresh and exhaust air</w:t>
      </w:r>
    </w:p>
    <w:p>
      <w:r>
        <w:rPr>
          <w:rFonts w:ascii="Arial" w:hAnsi="Arial" w:eastAsia="Arial" w:cs="Arial"/>
          <w:b w:val="0"/>
          <w:color w:val="000000"/>
          <w:sz w:val="22"/>
        </w:rPr>
        <w:t>Schedule and state checks provide a useful starting point. Qualified carbon-dioxide, flow and pressure information can support demand or balance analysis. Recommendations consider ventilation and pressure requirements together with fan and cooling energy.</w:t>
      </w:r>
    </w:p>
    <w:p>
      <w:r>
        <w:rPr>
          <w:rFonts w:ascii="Arial" w:hAnsi="Arial" w:eastAsia="Arial" w:cs="Arial"/>
          <w:b w:val="0"/>
          <w:color w:val="000000"/>
          <w:sz w:val="22"/>
        </w:rPr>
        <w:t>A stable sensor value may indicate a stuck sensor rather than a stable indoor environment. Data checks and site confirmation help distinguish the two.</w:t>
      </w:r>
    </w:p>
    <w:p>
      <w:pPr>
        <w:pStyle w:val="Heading2"/>
      </w:pPr>
      <w:r>
        <w:t>Common area terminals</w:t>
      </w:r>
    </w:p>
    <w:p>
      <w:r>
        <w:rPr>
          <w:rFonts w:ascii="Arial" w:hAnsi="Arial" w:eastAsia="Arial" w:cs="Arial"/>
          <w:b w:val="0"/>
          <w:color w:val="000000"/>
          <w:sz w:val="22"/>
        </w:rPr>
        <w:t>Owner-controlled terminals can be evaluated for sustained temperature deviation, recovery time, valve or damper response and non-occupied operation. A simple resistance-capacitance model or constrained regression can support thermal response and scenario analysis. Tenant-controlled areas are separately scoped.</w:t>
      </w:r>
    </w:p>
    <w:p>
      <w:pPr>
        <w:pStyle w:val="Heading2"/>
      </w:pPr>
      <w:r>
        <w:t>Algorithm choices</w:t>
      </w:r>
    </w:p>
    <w:p>
      <w:r>
        <w:rPr>
          <w:rFonts w:ascii="Arial" w:hAnsi="Arial" w:eastAsia="Arial" w:cs="Arial"/>
          <w:b w:val="0"/>
          <w:color w:val="000000"/>
          <w:sz w:val="22"/>
        </w:rPr>
        <w:t>AHUs use psychrometrics, engineering sequence rules and dynamic residuals. Grey-box models or gradient-boosting residual models are alternatives. Ventilation uses schedules, state rules and appropriate mass-balance proxies. Common-area terminals use robust temperature rules and first-order thermal-response models.</w:t>
      </w:r>
    </w:p>
    <w:p>
      <w:pPr>
        <w:pStyle w:val="Heading2"/>
      </w:pPr>
      <w:r>
        <w:t>Practical integration</w:t>
      </w:r>
    </w:p>
    <w:p>
      <w:r>
        <w:rPr>
          <w:rFonts w:ascii="Arial" w:hAnsi="Arial" w:eastAsia="Arial" w:cs="Arial"/>
          <w:b w:val="0"/>
          <w:color w:val="000000"/>
          <w:sz w:val="22"/>
        </w:rPr>
        <w:t>A two-dimensional air and water-system view helps the team locate the relevant sensor, actuator and upstream system. It serves analysis and investigation; approved controls remain in the existing building-control environment.</w:t>
      </w:r>
    </w:p>
    <w:p>
      <w:r>
        <w:br w:type="page"/>
      </w:r>
    </w:p>
    <w:p>
      <w:pPr>
        <w:pStyle w:val="Heading1"/>
        <w:spacing w:before="0"/>
      </w:pPr>
      <w:r>
        <w:rPr>
          <w:sz w:val="38"/>
        </w:rPr>
        <w:t>Baseline Selection and Normalization</w:t>
      </w:r>
    </w:p>
    <w:p>
      <w:r>
        <w:rPr>
          <w:rFonts w:ascii="Arial" w:hAnsi="Arial" w:eastAsia="Arial" w:cs="Arial"/>
          <w:b w:val="0"/>
          <w:color w:val="000000"/>
          <w:sz w:val="22"/>
        </w:rPr>
        <w:t>The baseline represents expected consumption within an agreed boundary and set of operating conditions.</w:t>
      </w:r>
    </w:p>
    <w:p>
      <w:pPr>
        <w:pStyle w:val="Heading2"/>
      </w:pPr>
      <w:r>
        <w:t>Build a baseline from a representative period</w:t>
      </w:r>
    </w:p>
    <w:p>
      <w:r>
        <w:rPr>
          <w:rFonts w:ascii="Arial" w:hAnsi="Arial" w:eastAsia="Arial" w:cs="Arial"/>
          <w:b w:val="0"/>
          <w:color w:val="000000"/>
          <w:sz w:val="22"/>
        </w:rPr>
        <w:t>The assessment reviews the available history, seasonal and operating coverage, metering and major changes. Twelve months of utility and operating history is a useful normal starting request; 24 months is preferable when available. The final modeling period follows the project’s data and measurement plan.</w:t>
      </w:r>
    </w:p>
    <w:p>
      <w:r>
        <w:rPr>
          <w:rFonts w:ascii="Arial" w:hAnsi="Arial" w:eastAsia="Arial" w:cs="Arial"/>
          <w:b w:val="0"/>
          <w:color w:val="000000"/>
          <w:sz w:val="22"/>
        </w:rPr>
        <w:t>Weather, humidity or enthalpy, working days, operating hours, occupancy proxies and major equipment events can explain consumption. Variables are selected for physical relevance and reliable availability, not simply to improve a fitted score.</w:t>
      </w:r>
    </w:p>
    <w:p>
      <w:pPr>
        <w:pStyle w:val="Heading2"/>
      </w:pPr>
      <w:r>
        <w:t>Main method and alternatives</w:t>
      </w:r>
    </w:p>
    <w:p>
      <w:r>
        <w:rPr>
          <w:rFonts w:ascii="Arial" w:hAnsi="Arial" w:eastAsia="Arial" w:cs="Arial"/>
          <w:b w:val="0"/>
          <w:color w:val="000000"/>
          <w:sz w:val="22"/>
        </w:rPr>
        <w:t>The main formal baseline uses multivariable change-point or piecewise regression with suitable constraints and residual checks. GAM or spline regression can represent smooth nonlinear relationships. Gradient boosting, SARIMAX or a calibrated grey-box model are alternatives when they provide demonstrable value and can be reviewed.</w:t>
      </w:r>
    </w:p>
    <w:p>
      <w:pPr>
        <w:pStyle w:val="Heading2"/>
      </w:pPr>
      <w:r>
        <w:t>Selection that can be inspected</w:t>
      </w:r>
    </w:p>
    <w:p>
      <w:r>
        <w:rPr>
          <w:rFonts w:ascii="Arial" w:hAnsi="Arial" w:eastAsia="Arial" w:cs="Arial"/>
          <w:b w:val="0"/>
          <w:color w:val="000000"/>
          <w:sz w:val="22"/>
        </w:rPr>
        <w:t>Candidates are compared on held-out time periods, bias, dispersion, residual behavior, parameter plausibility and the supported operating range. A simple comparison model remains part of the evaluation. The selected formal model is reviewed and frozen before it is used for the relevant performance statement.</w:t>
      </w:r>
    </w:p>
    <w:p>
      <w:pPr>
        <w:pStyle w:val="Heading2"/>
      </w:pPr>
      <w:r>
        <w:t>Keep formal and operating baselines distinct</w:t>
      </w:r>
    </w:p>
    <w:p>
      <w:r>
        <w:rPr>
          <w:rFonts w:ascii="Arial" w:hAnsi="Arial" w:eastAsia="Arial" w:cs="Arial"/>
          <w:b w:val="0"/>
          <w:color w:val="000000"/>
          <w:sz w:val="22"/>
        </w:rPr>
        <w:t>A high-frequency operating model can help detect unusual residuals and support short-term investigation. It does not silently replace the frozen M&amp;V baseline. Major changes are recorded as adjustment events or trigger a reviewed new baseline.</w:t>
      </w:r>
    </w:p>
    <w:p>
      <w:pPr>
        <w:pStyle w:val="Heading2"/>
      </w:pPr>
      <w:r>
        <w:t>Normalization</w:t>
      </w:r>
    </w:p>
    <w:p>
      <w:r>
        <w:rPr>
          <w:rFonts w:ascii="Arial" w:hAnsi="Arial" w:eastAsia="Arial" w:cs="Arial"/>
          <w:b w:val="0"/>
          <w:color w:val="000000"/>
          <w:sz w:val="22"/>
        </w:rPr>
        <w:t>Normalization compares periods under chosen reference weather or operating conditions while retaining the measured original values. The customer can inspect what was changed, the reference conditions and the model version. This makes a fair comparison possible without hiding a changed building boundary.</w:t>
      </w:r>
    </w:p>
    <w:p>
      <w:r>
        <w:br w:type="page"/>
      </w:r>
    </w:p>
    <w:p>
      <w:pPr>
        <w:pStyle w:val="Heading1"/>
        <w:spacing w:before="0"/>
      </w:pPr>
      <w:r>
        <w:rPr>
          <w:sz w:val="38"/>
        </w:rPr>
        <w:t>Measurement and Verification</w:t>
      </w:r>
    </w:p>
    <w:p>
      <w:r>
        <w:rPr>
          <w:rFonts w:ascii="Arial" w:hAnsi="Arial" w:eastAsia="Arial" w:cs="Arial"/>
          <w:b w:val="0"/>
          <w:color w:val="000000"/>
          <w:sz w:val="22"/>
        </w:rPr>
        <w:t>Measurement and Verification or M&amp;V quantifies the effect of an improvement against an agreed comparison basis.</w:t>
      </w:r>
    </w:p>
    <w:p>
      <w:pPr>
        <w:pStyle w:val="Heading2"/>
      </w:pPr>
      <w:r>
        <w:t>Choose the method for the boundary</w:t>
      </w:r>
    </w:p>
    <w:p>
      <w:r>
        <w:rPr>
          <w:rFonts w:ascii="Arial" w:hAnsi="Arial" w:eastAsia="Arial" w:cs="Arial"/>
          <w:b w:val="0"/>
          <w:color w:val="000000"/>
          <w:sz w:val="22"/>
        </w:rPr>
        <w:t>A whole-facility approach such as IPMVP Option C can assess total energy performance and interacting improvements. Retrofit-isolation methods such as Option B can measure the key variables of selected equipment or measures. The project may combine them with a boundary map that prevents double counting. [1]</w:t>
      </w:r>
    </w:p>
    <w:p>
      <w:pPr>
        <w:pStyle w:val="Heading2"/>
      </w:pPr>
      <w:r>
        <w:t>The performance ledger</w:t>
      </w:r>
    </w:p>
    <w:p>
      <w:r>
        <w:rPr>
          <w:rFonts w:ascii="Arial" w:hAnsi="Arial" w:eastAsia="Arial" w:cs="Arial"/>
          <w:b w:val="0"/>
          <w:color w:val="000000"/>
          <w:sz w:val="22"/>
        </w:rPr>
        <w:t>The record connects the baseline period, reporting period, measured consumption, routine conditions and approved material changes. Formal statements identify the data snapshot, meter coverage, calculation method, model and tariff versions, review and publication status.</w:t>
      </w:r>
    </w:p>
    <w:p>
      <w:r>
        <w:rPr>
          <w:rFonts w:ascii="Arial" w:hAnsi="Arial" w:eastAsia="Arial" w:cs="Arial"/>
          <w:b w:val="0"/>
          <w:color w:val="000000"/>
          <w:sz w:val="22"/>
        </w:rPr>
        <w:t>A published statement remains a retained version. A correction or resolved dispute creates a new statement with a visible difference. The reviewer can follow the result back to the same inputs and assumptions.</w:t>
      </w:r>
    </w:p>
    <w:p>
      <w:pPr>
        <w:pStyle w:val="Heading2"/>
      </w:pPr>
      <w:r>
        <w:t>Monthly review</w:t>
      </w:r>
    </w:p>
    <w:p>
      <w:pPr>
        <w:pStyle w:val="ListBullet"/>
      </w:pPr>
      <w:r>
        <w:rPr>
          <w:rFonts w:ascii="Arial" w:hAnsi="Arial" w:eastAsia="Arial" w:cs="Arial"/>
          <w:b w:val="0"/>
          <w:color w:val="000000"/>
          <w:sz w:val="22"/>
        </w:rPr>
        <w:t>Lock the relevant meter data and bills for the reporting period.</w:t>
      </w:r>
    </w:p>
    <w:p>
      <w:pPr>
        <w:pStyle w:val="ListBullet"/>
      </w:pPr>
      <w:r>
        <w:rPr>
          <w:rFonts w:ascii="Arial" w:hAnsi="Arial" w:eastAsia="Arial" w:cs="Arial"/>
          <w:b w:val="0"/>
          <w:color w:val="000000"/>
          <w:sz w:val="22"/>
        </w:rPr>
        <w:t>Review completeness, sensor issues, gaps and meter balance.</w:t>
      </w:r>
    </w:p>
    <w:p>
      <w:pPr>
        <w:pStyle w:val="ListBullet"/>
      </w:pPr>
      <w:r>
        <w:rPr>
          <w:rFonts w:ascii="Arial" w:hAnsi="Arial" w:eastAsia="Arial" w:cs="Arial"/>
          <w:b w:val="0"/>
          <w:color w:val="000000"/>
          <w:sz w:val="22"/>
        </w:rPr>
        <w:t>Confirm operating changes and approved adjustment events.</w:t>
      </w:r>
    </w:p>
    <w:p>
      <w:pPr>
        <w:pStyle w:val="ListBullet"/>
      </w:pPr>
      <w:r>
        <w:rPr>
          <w:rFonts w:ascii="Arial" w:hAnsi="Arial" w:eastAsia="Arial" w:cs="Arial"/>
          <w:b w:val="0"/>
          <w:color w:val="000000"/>
          <w:sz w:val="22"/>
        </w:rPr>
        <w:t>Calculate resource performance, cost effects and uncertainty.</w:t>
      </w:r>
    </w:p>
    <w:p>
      <w:pPr>
        <w:pStyle w:val="ListBullet"/>
      </w:pPr>
      <w:r>
        <w:rPr>
          <w:rFonts w:ascii="Arial" w:hAnsi="Arial" w:eastAsia="Arial" w:cs="Arial"/>
          <w:b w:val="0"/>
          <w:color w:val="000000"/>
          <w:sz w:val="22"/>
        </w:rPr>
        <w:t>Review energy, indoor conditions and equipment availability together.</w:t>
      </w:r>
    </w:p>
    <w:p>
      <w:pPr>
        <w:pStyle w:val="ListBullet"/>
      </w:pPr>
      <w:r>
        <w:rPr>
          <w:rFonts w:ascii="Arial" w:hAnsi="Arial" w:eastAsia="Arial" w:cs="Arial"/>
          <w:b w:val="0"/>
          <w:color w:val="000000"/>
          <w:sz w:val="22"/>
        </w:rPr>
        <w:t>Publish the agreed record and carry open issues into the action plan.</w:t>
      </w:r>
    </w:p>
    <w:p>
      <w:pPr>
        <w:pStyle w:val="Heading2"/>
      </w:pPr>
      <w:r>
        <w:t>Energy value and bill movement</w:t>
      </w:r>
    </w:p>
    <w:p>
      <w:r>
        <w:rPr>
          <w:rFonts w:ascii="Arial" w:hAnsi="Arial" w:eastAsia="Arial" w:cs="Arial"/>
          <w:b w:val="0"/>
          <w:color w:val="000000"/>
          <w:sz w:val="22"/>
        </w:rPr>
        <w:t>The energy improvement and tariff effect are displayed separately. A performance-linked fee or guarantee uses the agreed tariff and comparison basis, while actual bill movement can be shown alongside it. This allows the owner to understand both efficiency and cash effects.</w:t>
      </w:r>
    </w:p>
    <w:p>
      <w:pPr>
        <w:pStyle w:val="Heading2"/>
      </w:pPr>
      <w:r>
        <w:t>Useful evidence to request</w:t>
      </w:r>
    </w:p>
    <w:p>
      <w:r>
        <w:rPr>
          <w:rFonts w:ascii="Arial" w:hAnsi="Arial" w:eastAsia="Arial" w:cs="Arial"/>
          <w:b w:val="0"/>
          <w:color w:val="000000"/>
          <w:sz w:val="22"/>
        </w:rPr>
        <w:t>Ask for a sample statement with the boundary, baseline, adjustments, data-quality record, uncertainty and approval history, plus a calculation export that an authorized reviewer can reproduce.</w:t>
      </w:r>
    </w:p>
    <w:p>
      <w:r>
        <w:br w:type="page"/>
      </w:r>
    </w:p>
    <w:p>
      <w:pPr>
        <w:pStyle w:val="Heading1"/>
        <w:spacing w:before="0"/>
      </w:pPr>
      <w:r>
        <w:rPr>
          <w:sz w:val="38"/>
        </w:rPr>
        <w:t>Uncertainty and Evidence Strength</w:t>
      </w:r>
    </w:p>
    <w:p>
      <w:r>
        <w:rPr>
          <w:rFonts w:ascii="Arial" w:hAnsi="Arial" w:eastAsia="Arial" w:cs="Arial"/>
          <w:b w:val="0"/>
          <w:color w:val="000000"/>
          <w:sz w:val="22"/>
        </w:rPr>
        <w:t>A useful performance result describes its measurement and model quality as well as its central estimate.</w:t>
      </w:r>
    </w:p>
    <w:p>
      <w:pPr>
        <w:pStyle w:val="Heading2"/>
      </w:pPr>
      <w:r>
        <w:t>Different questions have different uncertainty</w:t>
      </w:r>
    </w:p>
    <w:p>
      <w:r>
        <w:rPr>
          <w:rFonts w:ascii="Arial" w:hAnsi="Arial" w:eastAsia="Arial" w:cs="Arial"/>
          <w:b w:val="0"/>
          <w:color w:val="000000"/>
          <w:sz w:val="22"/>
        </w:rPr>
        <w:t>A meter reading has measurement uncertainty. A baseline has model and sampling uncertainty. An engineering opportunity has assumptions about load, implementation and operating hours. A future forecast also depends on conditions not yet observed. These uncertainties should not be collapsed into one generic AI confidence score.</w:t>
      </w:r>
    </w:p>
    <w:p>
      <w:pPr>
        <w:pStyle w:val="Heading2"/>
      </w:pPr>
      <w:r>
        <w:t>Formal performance intervals</w:t>
      </w:r>
    </w:p>
    <w:p>
      <w:r>
        <w:rPr>
          <w:rFonts w:ascii="Arial" w:hAnsi="Arial" w:eastAsia="Arial" w:cs="Arial"/>
          <w:b w:val="0"/>
          <w:color w:val="000000"/>
          <w:sz w:val="22"/>
        </w:rPr>
        <w:t>The main M&amp;V method uses residual or moving-block bootstrap together with measurement, gap-filling and approved-adjustment uncertainty. Time blocks help preserve serial dependence in the errors. Analytical propagation or Bayesian methods are alternatives when their assumptions suit the project.</w:t>
      </w:r>
    </w:p>
    <w:p>
      <w:r>
        <w:rPr>
          <w:rFonts w:ascii="Arial" w:hAnsi="Arial" w:eastAsia="Arial" w:cs="Arial"/>
          <w:b w:val="0"/>
          <w:color w:val="000000"/>
          <w:sz w:val="22"/>
        </w:rPr>
        <w:t>The statement shows the selected confidence level, range and important contributors. Sensitivity analysis identifies whether better measurement, more history or a confirmed adjustment would materially improve the decision.</w:t>
      </w:r>
    </w:p>
    <w:p>
      <w:pPr>
        <w:pStyle w:val="Heading2"/>
      </w:pPr>
      <w:r>
        <w:t>Evidence categories in the customer view</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088"/>
        <w:gridCol w:w="5040"/>
        <w:gridCol w:w="2952"/>
      </w:tblGrid>
      <w:tr>
        <w:trPr>
          <w:tblHeader/>
          <w:cantSplit/>
        </w:trPr>
        <w:tc>
          <w:tcPr>
            <w:tcW w:type="dxa" w:w="2088"/>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Category</w:t>
            </w:r>
          </w:p>
        </w:tc>
        <w:tc>
          <w:tcPr>
            <w:tcW w:type="dxa" w:w="5040"/>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What it represents</w:t>
            </w:r>
          </w:p>
        </w:tc>
        <w:tc>
          <w:tcPr>
            <w:tcW w:type="dxa" w:w="2952"/>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Use</w:t>
            </w:r>
          </w:p>
        </w:tc>
      </w:tr>
      <w:tr>
        <w:trPr>
          <w:cantSplit/>
        </w:trPr>
        <w:tc>
          <w:tcPr>
            <w:tcW w:type="dxa" w:w="208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Measured</w:t>
            </w:r>
          </w:p>
        </w:tc>
        <w:tc>
          <w:tcPr>
            <w:tcW w:type="dxa" w:w="504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Qualified readings within a defined period and meter boundary</w:t>
            </w:r>
          </w:p>
        </w:tc>
        <w:tc>
          <w:tcPr>
            <w:tcW w:type="dxa" w:w="295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Consumption and operating facts</w:t>
            </w:r>
          </w:p>
        </w:tc>
      </w:tr>
      <w:tr>
        <w:trPr>
          <w:cantSplit/>
        </w:trPr>
        <w:tc>
          <w:tcPr>
            <w:tcW w:type="dxa" w:w="208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Estimated</w:t>
            </w:r>
          </w:p>
        </w:tc>
        <w:tc>
          <w:tcPr>
            <w:tcW w:type="dxa" w:w="504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A calibrated virtual meter or engineering calculation</w:t>
            </w:r>
          </w:p>
        </w:tc>
        <w:tc>
          <w:tcPr>
            <w:tcW w:type="dxa" w:w="295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Investigation and measure evaluation</w:t>
            </w:r>
          </w:p>
        </w:tc>
      </w:tr>
      <w:tr>
        <w:trPr>
          <w:cantSplit/>
        </w:trPr>
        <w:tc>
          <w:tcPr>
            <w:tcW w:type="dxa" w:w="208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Forecast</w:t>
            </w:r>
          </w:p>
        </w:tc>
        <w:tc>
          <w:tcPr>
            <w:tcW w:type="dxa" w:w="504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A future result with defined conditions and interval</w:t>
            </w:r>
          </w:p>
        </w:tc>
        <w:tc>
          <w:tcPr>
            <w:tcW w:type="dxa" w:w="295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Planning and risk review</w:t>
            </w:r>
          </w:p>
        </w:tc>
      </w:tr>
      <w:tr>
        <w:trPr>
          <w:cantSplit/>
        </w:trPr>
        <w:tc>
          <w:tcPr>
            <w:tcW w:type="dxa" w:w="208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To verify</w:t>
            </w:r>
          </w:p>
        </w:tc>
        <w:tc>
          <w:tcPr>
            <w:tcW w:type="dxa" w:w="504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A plausible cause or action needing a check</w:t>
            </w:r>
          </w:p>
        </w:tc>
        <w:tc>
          <w:tcPr>
            <w:tcW w:type="dxa" w:w="295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Site inspection and validation</w:t>
            </w:r>
          </w:p>
        </w:tc>
      </w:tr>
      <w:tr>
        <w:trPr>
          <w:cantSplit/>
        </w:trPr>
        <w:tc>
          <w:tcPr>
            <w:tcW w:type="dxa" w:w="208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Verified</w:t>
            </w:r>
          </w:p>
        </w:tc>
        <w:tc>
          <w:tcPr>
            <w:tcW w:type="dxa" w:w="504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A reviewed result against the agreed measurement plan</w:t>
            </w:r>
          </w:p>
        </w:tc>
        <w:tc>
          <w:tcPr>
            <w:tcW w:type="dxa" w:w="295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Performance statements and decisions</w:t>
            </w:r>
          </w:p>
        </w:tc>
      </w:tr>
    </w:tbl>
    <w:p>
      <w:pPr>
        <w:spacing w:after="0"/>
      </w:pPr>
    </w:p>
    <w:p>
      <w:pPr>
        <w:pStyle w:val="Heading2"/>
      </w:pPr>
      <w:r>
        <w:t>Selection question</w:t>
      </w:r>
    </w:p>
    <w:p>
      <w:r>
        <w:rPr>
          <w:rFonts w:ascii="Arial" w:hAnsi="Arial" w:eastAsia="Arial" w:cs="Arial"/>
          <w:b w:val="0"/>
          <w:color w:val="000000"/>
          <w:sz w:val="22"/>
        </w:rPr>
        <w:t>Can the supplier show how the range changes when a sensor, model or material-change assumption changes? The answer should be available from the analytical record rather than from an unsupported narrative.</w:t>
      </w:r>
    </w:p>
    <w:p>
      <w:r>
        <w:br w:type="page"/>
      </w:r>
    </w:p>
    <w:p>
      <w:pPr>
        <w:pStyle w:val="Heading1"/>
        <w:spacing w:before="0"/>
      </w:pPr>
      <w:r>
        <w:rPr>
          <w:sz w:val="38"/>
        </w:rPr>
        <w:t>Forecasting and Scenario Comparison</w:t>
      </w:r>
    </w:p>
    <w:p>
      <w:r>
        <w:rPr>
          <w:rFonts w:ascii="Arial" w:hAnsi="Arial" w:eastAsia="Arial" w:cs="Arial"/>
          <w:b w:val="0"/>
          <w:color w:val="000000"/>
          <w:sz w:val="22"/>
        </w:rPr>
        <w:t>Forecasts anticipate operation; scenarios compare explicitly defined changes.</w:t>
      </w:r>
    </w:p>
    <w:p>
      <w:pPr>
        <w:pStyle w:val="Heading2"/>
      </w:pPr>
      <w:r>
        <w:t>Forecast by decision horizon</w:t>
      </w:r>
    </w:p>
    <w:p>
      <w:r>
        <w:rPr>
          <w:rFonts w:ascii="Arial" w:hAnsi="Arial" w:eastAsia="Arial" w:cs="Arial"/>
          <w:b w:val="0"/>
          <w:color w:val="000000"/>
          <w:sz w:val="22"/>
        </w:rPr>
        <w:t>Short-term forecasts can support the next 1 to 24 hours; a seven-day view supports operating planning; monthly or annual scenarios support budgets and investment. Each horizon is evaluated separately against persistence and same-period comparisons.</w:t>
      </w:r>
    </w:p>
    <w:p>
      <w:r>
        <w:rPr>
          <w:rFonts w:ascii="Arial" w:hAnsi="Arial" w:eastAsia="Arial" w:cs="Arial"/>
          <w:b w:val="0"/>
          <w:color w:val="000000"/>
          <w:sz w:val="22"/>
        </w:rPr>
        <w:t>The main approach uses gradient-boosting models with suitable calendar, weather and lagged-load features. Quantile models and rolling conformal calibration provide intervals. GAM, SARIMAX and grey-box models are alternatives. Deep sequence models are evaluated only where the available data and operating benefit justify them.</w:t>
      </w:r>
    </w:p>
    <w:p>
      <w:pPr>
        <w:pStyle w:val="Heading2"/>
      </w:pPr>
      <w:r>
        <w:t>Use information available at the time</w:t>
      </w:r>
    </w:p>
    <w:p>
      <w:r>
        <w:rPr>
          <w:rFonts w:ascii="Arial" w:hAnsi="Arial" w:eastAsia="Arial" w:cs="Arial"/>
          <w:b w:val="0"/>
          <w:color w:val="000000"/>
          <w:sz w:val="22"/>
        </w:rPr>
        <w:t>Backtests use the weather forecast and operating information that would have been known at the forecast origin. Peak periods and unusual calendars are reviewed separately from average error. If a complex model offers no useful gain, a simple approved method remains available.</w:t>
      </w:r>
    </w:p>
    <w:p>
      <w:pPr>
        <w:pStyle w:val="Heading2"/>
      </w:pPr>
      <w:r>
        <w:t>Three types of scenario</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32"/>
        <w:gridCol w:w="4392"/>
        <w:gridCol w:w="3456"/>
      </w:tblGrid>
      <w:tr>
        <w:trPr>
          <w:tblHeader/>
          <w:cantSplit/>
        </w:trPr>
        <w:tc>
          <w:tcPr>
            <w:tcW w:type="dxa" w:w="2232"/>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Scenario</w:t>
            </w:r>
          </w:p>
        </w:tc>
        <w:tc>
          <w:tcPr>
            <w:tcW w:type="dxa" w:w="4392"/>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Calculation basis</w:t>
            </w:r>
          </w:p>
        </w:tc>
        <w:tc>
          <w:tcPr>
            <w:tcW w:type="dxa" w:w="345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Typical question</w:t>
            </w:r>
          </w:p>
        </w:tc>
      </w:tr>
      <w:tr>
        <w:trPr>
          <w:cantSplit/>
        </w:trPr>
        <w:tc>
          <w:tcPr>
            <w:tcW w:type="dxa" w:w="223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Historical counterfactual</w:t>
            </w:r>
          </w:p>
        </w:tc>
        <w:tc>
          <w:tcPr>
            <w:tcW w:type="dxa" w:w="439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Observed external conditions with a defined alternative operating assumption</w:t>
            </w:r>
          </w:p>
        </w:tc>
        <w:tc>
          <w:tcPr>
            <w:tcW w:type="dxa" w:w="345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What would operation have looked like under the agreed schedule?</w:t>
            </w:r>
          </w:p>
        </w:tc>
      </w:tr>
      <w:tr>
        <w:trPr>
          <w:cantSplit/>
        </w:trPr>
        <w:tc>
          <w:tcPr>
            <w:tcW w:type="dxa" w:w="223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Future operating scenario</w:t>
            </w:r>
          </w:p>
        </w:tc>
        <w:tc>
          <w:tcPr>
            <w:tcW w:type="dxa" w:w="439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Approved forecast or grey-box model with stated future conditions</w:t>
            </w:r>
          </w:p>
        </w:tc>
        <w:tc>
          <w:tcPr>
            <w:tcW w:type="dxa" w:w="345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How could a planned schedule affect tomorrow’s demand?</w:t>
            </w:r>
          </w:p>
        </w:tc>
      </w:tr>
      <w:tr>
        <w:trPr>
          <w:cantSplit/>
        </w:trPr>
        <w:tc>
          <w:tcPr>
            <w:tcW w:type="dxa" w:w="223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Engineering estimate</w:t>
            </w:r>
          </w:p>
        </w:tc>
        <w:tc>
          <w:tcPr>
            <w:tcW w:type="dxa" w:w="439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Equipment model and measure-specific assumptions</w:t>
            </w:r>
          </w:p>
        </w:tc>
        <w:tc>
          <w:tcPr>
            <w:tcW w:type="dxa" w:w="345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What is the expected effect of a pump or chiller improvement?</w:t>
            </w:r>
          </w:p>
        </w:tc>
      </w:tr>
    </w:tbl>
    <w:p>
      <w:pPr>
        <w:spacing w:after="0"/>
      </w:pPr>
    </w:p>
    <w:p>
      <w:pPr>
        <w:pStyle w:val="Heading2"/>
      </w:pPr>
      <w:r>
        <w:t>A saved scenario</w:t>
      </w:r>
    </w:p>
    <w:p>
      <w:r>
        <w:rPr>
          <w:rFonts w:ascii="Arial" w:hAnsi="Arial" w:eastAsia="Arial" w:cs="Arial"/>
          <w:b w:val="0"/>
          <w:color w:val="000000"/>
          <w:sz w:val="22"/>
        </w:rPr>
        <w:t>The comparison retains its baseline, changed assumptions, period, method, constraints and result range. It shows resource use, cost and relevant indoor or equipment effects. A language model can help define and explain the scenario while the professional tool produces its numerical result.</w:t>
      </w:r>
    </w:p>
    <w:p>
      <w:r>
        <w:br w:type="page"/>
      </w:r>
    </w:p>
    <w:p>
      <w:pPr>
        <w:pStyle w:val="Heading1"/>
        <w:spacing w:before="0"/>
      </w:pPr>
      <w:r>
        <w:rPr>
          <w:sz w:val="38"/>
        </w:rPr>
        <w:t>Optimization with Operating Constraints</w:t>
      </w:r>
    </w:p>
    <w:p>
      <w:r>
        <w:rPr>
          <w:rFonts w:ascii="Arial" w:hAnsi="Arial" w:eastAsia="Arial" w:cs="Arial"/>
          <w:b w:val="0"/>
          <w:color w:val="000000"/>
          <w:sz w:val="22"/>
        </w:rPr>
        <w:t>Optimization compares feasible strategies against the current or simple approved operating method.</w:t>
      </w:r>
    </w:p>
    <w:p>
      <w:pPr>
        <w:pStyle w:val="Heading2"/>
      </w:pPr>
      <w:r>
        <w:t>Main analytical route</w:t>
      </w:r>
    </w:p>
    <w:p>
      <w:r>
        <w:rPr>
          <w:rFonts w:ascii="Arial" w:hAnsi="Arial" w:eastAsia="Arial" w:cs="Arial"/>
          <w:b w:val="0"/>
          <w:color w:val="000000"/>
          <w:sz w:val="22"/>
        </w:rPr>
        <w:t>Constrained rolling-horizon Model Predictive Control is the principal optimization method. It combines load forecasts, equipment performance and current state to compare future operation. Mixed-integer linear or nonlinear formulations can represent equipment staging and discrete starts.</w:t>
      </w:r>
    </w:p>
    <w:p>
      <w:r>
        <w:rPr>
          <w:rFonts w:ascii="Arial" w:hAnsi="Arial" w:eastAsia="Arial" w:cs="Arial"/>
          <w:b w:val="0"/>
          <w:color w:val="000000"/>
          <w:sz w:val="22"/>
        </w:rPr>
        <w:t>Continuous nonlinear MPC, rule-based optimization and carefully bounded Bayesian optimization are alternatives for suitable problems. Rules also provide a practical starting point and fallback. Reinforcement learning is a later research route where data, simulation and safety evidence justify it.</w:t>
      </w:r>
    </w:p>
    <w:p>
      <w:pPr>
        <w:pStyle w:val="Heading2"/>
      </w:pPr>
      <w:r>
        <w:t>Hard limits and useful objectives</w:t>
      </w:r>
    </w:p>
    <w:p>
      <w:r>
        <w:rPr>
          <w:rFonts w:ascii="Arial" w:hAnsi="Arial" w:eastAsia="Arial" w:cs="Arial"/>
          <w:b w:val="0"/>
          <w:color w:val="000000"/>
          <w:sz w:val="22"/>
        </w:rPr>
        <w:t>The feasible region includes capacity, temperatures, pressures, minimum flow, minimum on and off time, ramp rate, redundancy, current equipment availability and approved operating windows. Indoor conditions and equipment protections are not merely a cheap penalty that the solver can trade away.</w:t>
      </w:r>
    </w:p>
    <w:p>
      <w:r>
        <w:rPr>
          <w:rFonts w:ascii="Arial" w:hAnsi="Arial" w:eastAsia="Arial" w:cs="Arial"/>
          <w:b w:val="0"/>
          <w:color w:val="000000"/>
          <w:sz w:val="22"/>
        </w:rPr>
        <w:t>Within that region, the customer can compare energy, cost, starts, comfort margin and equipment-life considerations. The recommendation explains its expected benefit, active constraints and remaining margin.</w:t>
      </w:r>
    </w:p>
    <w:p>
      <w:pPr>
        <w:pStyle w:val="Heading2"/>
      </w:pPr>
      <w:r>
        <w:t>Shadow before execution</w:t>
      </w:r>
    </w:p>
    <w:p>
      <w:r>
        <w:rPr>
          <w:rFonts w:ascii="Arial" w:hAnsi="Arial" w:eastAsia="Arial" w:cs="Arial"/>
          <w:b w:val="0"/>
          <w:color w:val="000000"/>
          <w:sz w:val="22"/>
        </w:rPr>
        <w:t>In shadow operation, the strategy calculates using real data but does not alter equipment. The team compares it with current operation, checks boundary cases and confirms feasibility. An approved limited trial then verifies the site response and the rollback arrangement.</w:t>
      </w:r>
    </w:p>
    <w:p>
      <w:pPr>
        <w:pStyle w:val="Heading2"/>
      </w:pPr>
      <w:r>
        <w:t>The output is an intent</w:t>
      </w:r>
    </w:p>
    <w:p>
      <w:r>
        <w:rPr>
          <w:rFonts w:ascii="Arial" w:hAnsi="Arial" w:eastAsia="Arial" w:cs="Arial"/>
          <w:b w:val="0"/>
          <w:color w:val="000000"/>
          <w:sz w:val="22"/>
        </w:rPr>
        <w:t>The energy system produces a structured target or strategy with the equipment, period, preconditions, constraints, approval, rollback and verification window. The authorized site-control arrangement translates and executes it.</w:t>
      </w:r>
    </w:p>
    <w:p>
      <w:pPr>
        <w:pStyle w:val="Heading2"/>
      </w:pPr>
      <w:r>
        <w:t>Customer selection question</w:t>
      </w:r>
    </w:p>
    <w:p>
      <w:r>
        <w:rPr>
          <w:rFonts w:ascii="Arial" w:hAnsi="Arial" w:eastAsia="Arial" w:cs="Arial"/>
          <w:b w:val="0"/>
          <w:color w:val="000000"/>
          <w:sz w:val="22"/>
        </w:rPr>
        <w:t>Can the proposed strategy show a feasible solution, a comparison with current operation and a tested response when the model, data or equipment becomes unavailable?</w:t>
      </w:r>
    </w:p>
    <w:p>
      <w:r>
        <w:br w:type="page"/>
      </w:r>
    </w:p>
    <w:p>
      <w:pPr>
        <w:pStyle w:val="Heading1"/>
        <w:spacing w:before="0"/>
      </w:pPr>
      <w:r>
        <w:rPr>
          <w:sz w:val="38"/>
        </w:rPr>
        <w:t>Energy Actions and Investment Decisions</w:t>
      </w:r>
    </w:p>
    <w:p>
      <w:r>
        <w:rPr>
          <w:rFonts w:ascii="Arial" w:hAnsi="Arial" w:eastAsia="Arial" w:cs="Arial"/>
          <w:b w:val="0"/>
          <w:color w:val="000000"/>
          <w:sz w:val="22"/>
        </w:rPr>
        <w:t>An opportunity becomes an improvement when its scope, owner, implementation and verification are clear.</w:t>
      </w:r>
    </w:p>
    <w:p>
      <w:pPr>
        <w:pStyle w:val="Heading2"/>
      </w:pPr>
      <w:r>
        <w:t>Manage an Energy Conservation Measure</w:t>
      </w:r>
    </w:p>
    <w:p>
      <w:r>
        <w:rPr>
          <w:rFonts w:ascii="Arial" w:hAnsi="Arial" w:eastAsia="Arial" w:cs="Arial"/>
          <w:b w:val="0"/>
          <w:color w:val="000000"/>
          <w:sz w:val="22"/>
        </w:rPr>
        <w:t>An Energy Conservation Measure or ECM records the existing and proposed condition, equipment or meter boundary, method, expected energy effect, cost, risk, dependencies and verification plan. Measures can include schedules, commissioning, setpoints, equipment combination, drives, replacement, metering or envelope work.</w:t>
      </w:r>
    </w:p>
    <w:p>
      <w:r>
        <w:rPr>
          <w:rFonts w:ascii="Arial" w:hAnsi="Arial" w:eastAsia="Arial" w:cs="Arial"/>
          <w:b w:val="0"/>
          <w:color w:val="000000"/>
          <w:sz w:val="22"/>
        </w:rPr>
        <w:t>Related measures are evaluated as a combination. For example, a chiller change and pumping improvement can interact; their separate estimated savings are not simply added without checking the shared boundary.</w:t>
      </w:r>
    </w:p>
    <w:p>
      <w:pPr>
        <w:pStyle w:val="Heading2"/>
      </w:pPr>
      <w:r>
        <w:t>Energy Action lifecycle</w:t>
      </w:r>
    </w:p>
    <w:p>
      <w:r>
        <w:rPr>
          <w:rFonts w:ascii="Arial" w:hAnsi="Arial" w:eastAsia="Arial" w:cs="Arial"/>
          <w:b w:val="0"/>
          <w:color w:val="000000"/>
          <w:sz w:val="22"/>
        </w:rPr>
        <w:t>The record moves from discovery and assessment to approval, planning, external implementation status, verification and closure. It keeps the anomaly, evidence and measure calculation linked. The FM or engineering delivery workflow remains responsible for physical work and its confirmation.</w:t>
      </w:r>
    </w:p>
    <w:p>
      <w:pPr>
        <w:pStyle w:val="Heading2"/>
      </w:pPr>
      <w:r>
        <w:t>Transparent value model</w:t>
      </w:r>
    </w:p>
    <w:p>
      <w:r>
        <w:rPr>
          <w:rFonts w:ascii="Arial" w:hAnsi="Arial" w:eastAsia="Arial" w:cs="Arial"/>
          <w:b w:val="0"/>
          <w:color w:val="000000"/>
          <w:sz w:val="22"/>
        </w:rPr>
        <w:t>The main financial method uses a transparent cash-flow model with explicit capital, operating and maintenance costs, resource-saving scenario, tariff, life, replacements, residual value and discount assumptions. Simple payback, lifecycle cost, NPV and IRR can be compared when the necessary inputs are available.</w:t>
      </w:r>
    </w:p>
    <w:p>
      <w:r>
        <w:rPr>
          <w:rFonts w:ascii="Arial" w:hAnsi="Arial" w:eastAsia="Arial" w:cs="Arial"/>
          <w:b w:val="0"/>
          <w:color w:val="000000"/>
          <w:sz w:val="22"/>
        </w:rPr>
        <w:t>Low, central and high scenarios help reveal sensitivity. Energy, tariff and financial assumptions are separate so a change can be traced to its effect on value. Investment and payment terms are confirmed through the commercial process.</w:t>
      </w:r>
    </w:p>
    <w:p>
      <w:pPr>
        <w:pStyle w:val="Heading2"/>
      </w:pPr>
      <w:r>
        <w:t>Prioritize the practical opportunity</w:t>
      </w:r>
    </w:p>
    <w:p>
      <w:r>
        <w:rPr>
          <w:rFonts w:ascii="Arial" w:hAnsi="Arial" w:eastAsia="Arial" w:cs="Arial"/>
          <w:b w:val="0"/>
          <w:color w:val="000000"/>
          <w:sz w:val="22"/>
        </w:rPr>
        <w:t>The main ranking method is interpretable multicriteria decision analysis. It first checks scope, data, safety and authority, then compares value, evidence, risk, effort and dependencies. Pareto comparisons help identify trade-offs. An authorized override is recorded with a reason.</w:t>
      </w:r>
    </w:p>
    <w:p>
      <w:pPr>
        <w:pStyle w:val="Heading2"/>
      </w:pPr>
      <w:r>
        <w:t>Verify after delivery</w:t>
      </w:r>
    </w:p>
    <w:p>
      <w:r>
        <w:rPr>
          <w:rFonts w:ascii="Arial" w:hAnsi="Arial" w:eastAsia="Arial" w:cs="Arial"/>
          <w:b w:val="0"/>
          <w:color w:val="000000"/>
          <w:sz w:val="22"/>
        </w:rPr>
        <w:t>Agree the comparison window and method before implementation. Check the resource effect together with indoor conditions, equipment availability and any later rebound. Reopen the action if the result needs further tuning.</w:t>
      </w:r>
    </w:p>
    <w:p>
      <w:r>
        <w:br w:type="page"/>
      </w:r>
    </w:p>
    <w:p>
      <w:pPr>
        <w:pStyle w:val="Heading1"/>
        <w:spacing w:before="0"/>
      </w:pPr>
      <w:r>
        <w:rPr>
          <w:sz w:val="38"/>
        </w:rPr>
        <w:t>Approval Controlled Intents and Autonomy</w:t>
      </w:r>
    </w:p>
    <w:p>
      <w:r>
        <w:rPr>
          <w:rFonts w:ascii="Arial" w:hAnsi="Arial" w:eastAsia="Arial" w:cs="Arial"/>
          <w:b w:val="0"/>
          <w:color w:val="000000"/>
          <w:sz w:val="22"/>
        </w:rPr>
        <w:t>Increase analytical and operating authority deliberately as site evidence and responsibilities mature.</w:t>
      </w:r>
    </w:p>
    <w:p>
      <w:pPr>
        <w:pStyle w:val="Heading2"/>
      </w:pPr>
      <w:r>
        <w:t>L0 to L3 describes intent maturity</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008"/>
        <w:gridCol w:w="4896"/>
        <w:gridCol w:w="4176"/>
      </w:tblGrid>
      <w:tr>
        <w:trPr>
          <w:tblHeader/>
          <w:cantSplit/>
        </w:trPr>
        <w:tc>
          <w:tcPr>
            <w:tcW w:type="dxa" w:w="1008"/>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Level</w:t>
            </w:r>
          </w:p>
        </w:tc>
        <w:tc>
          <w:tcPr>
            <w:tcW w:type="dxa" w:w="489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Energy system output</w:t>
            </w:r>
          </w:p>
        </w:tc>
        <w:tc>
          <w:tcPr>
            <w:tcW w:type="dxa" w:w="417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Operating requirement</w:t>
            </w:r>
          </w:p>
        </w:tc>
      </w:tr>
      <w:tr>
        <w:trPr>
          <w:cantSplit/>
        </w:trPr>
        <w:tc>
          <w:tcPr>
            <w:tcW w:type="dxa" w:w="100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L0</w:t>
            </w:r>
          </w:p>
        </w:tc>
        <w:tc>
          <w:tcPr>
            <w:tcW w:type="dxa" w:w="489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Analysis and explanation</w:t>
            </w:r>
          </w:p>
        </w:tc>
        <w:tc>
          <w:tcPr>
            <w:tcW w:type="dxa" w:w="417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Use for understanding and technical review</w:t>
            </w:r>
          </w:p>
        </w:tc>
      </w:tr>
      <w:tr>
        <w:trPr>
          <w:cantSplit/>
        </w:trPr>
        <w:tc>
          <w:tcPr>
            <w:tcW w:type="dxa" w:w="100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L1</w:t>
            </w:r>
          </w:p>
        </w:tc>
        <w:tc>
          <w:tcPr>
            <w:tcW w:type="dxa" w:w="489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Recommendations and scenarios</w:t>
            </w:r>
          </w:p>
        </w:tc>
        <w:tc>
          <w:tcPr>
            <w:tcW w:type="dxa" w:w="417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An authorized team decides the next action</w:t>
            </w:r>
          </w:p>
        </w:tc>
      </w:tr>
      <w:tr>
        <w:trPr>
          <w:cantSplit/>
        </w:trPr>
        <w:tc>
          <w:tcPr>
            <w:tcW w:type="dxa" w:w="100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L2</w:t>
            </w:r>
          </w:p>
        </w:tc>
        <w:tc>
          <w:tcPr>
            <w:tcW w:type="dxa" w:w="489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Structured intent after approval</w:t>
            </w:r>
          </w:p>
        </w:tc>
        <w:tc>
          <w:tcPr>
            <w:tcW w:type="dxa" w:w="417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Confirm the specific action and site execution authority</w:t>
            </w:r>
          </w:p>
        </w:tc>
      </w:tr>
      <w:tr>
        <w:trPr>
          <w:cantSplit/>
        </w:trPr>
        <w:tc>
          <w:tcPr>
            <w:tcW w:type="dxa" w:w="100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L3</w:t>
            </w:r>
          </w:p>
        </w:tc>
        <w:tc>
          <w:tcPr>
            <w:tcW w:type="dxa" w:w="489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Intent within an approved strategy envelope</w:t>
            </w:r>
          </w:p>
        </w:tc>
        <w:tc>
          <w:tcPr>
            <w:tcW w:type="dxa" w:w="417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Use only the agreed limits, validity and supervision conditions</w:t>
            </w:r>
          </w:p>
        </w:tc>
      </w:tr>
    </w:tbl>
    <w:p>
      <w:pPr>
        <w:spacing w:after="0"/>
      </w:pPr>
    </w:p>
    <w:p>
      <w:pPr>
        <w:pStyle w:val="Heading2"/>
      </w:pPr>
      <w:r>
        <w:t>What an intent contains</w:t>
      </w:r>
    </w:p>
    <w:p>
      <w:pPr>
        <w:pStyle w:val="ListBullet"/>
      </w:pPr>
      <w:r>
        <w:rPr>
          <w:rFonts w:ascii="Arial" w:hAnsi="Arial" w:eastAsia="Arial" w:cs="Arial"/>
          <w:b w:val="0"/>
          <w:color w:val="000000"/>
          <w:sz w:val="22"/>
        </w:rPr>
        <w:t>The target equipment, strategy or value and valid time window.</w:t>
      </w:r>
    </w:p>
    <w:p>
      <w:pPr>
        <w:pStyle w:val="ListBullet"/>
      </w:pPr>
      <w:r>
        <w:rPr>
          <w:rFonts w:ascii="Arial" w:hAnsi="Arial" w:eastAsia="Arial" w:cs="Arial"/>
          <w:b w:val="0"/>
          <w:color w:val="000000"/>
          <w:sz w:val="22"/>
        </w:rPr>
        <w:t>Required input freshness and equipment or operating preconditions.</w:t>
      </w:r>
    </w:p>
    <w:p>
      <w:pPr>
        <w:pStyle w:val="ListBullet"/>
      </w:pPr>
      <w:r>
        <w:rPr>
          <w:rFonts w:ascii="Arial" w:hAnsi="Arial" w:eastAsia="Arial" w:cs="Arial"/>
          <w:b w:val="0"/>
          <w:color w:val="000000"/>
          <w:sz w:val="22"/>
        </w:rPr>
        <w:t>Capacity, indoor-condition, rate, redundancy and equipment constraints.</w:t>
      </w:r>
    </w:p>
    <w:p>
      <w:pPr>
        <w:pStyle w:val="ListBullet"/>
      </w:pPr>
      <w:r>
        <w:rPr>
          <w:rFonts w:ascii="Arial" w:hAnsi="Arial" w:eastAsia="Arial" w:cs="Arial"/>
          <w:b w:val="0"/>
          <w:color w:val="000000"/>
          <w:sz w:val="22"/>
        </w:rPr>
        <w:t>Expected benefit, risk and relevant uncertainty.</w:t>
      </w:r>
    </w:p>
    <w:p>
      <w:pPr>
        <w:pStyle w:val="ListBullet"/>
      </w:pPr>
      <w:r>
        <w:rPr>
          <w:rFonts w:ascii="Arial" w:hAnsi="Arial" w:eastAsia="Arial" w:cs="Arial"/>
          <w:b w:val="0"/>
          <w:color w:val="000000"/>
          <w:sz w:val="22"/>
        </w:rPr>
        <w:t>Approval record, rollback approach and result-verification window.</w:t>
      </w:r>
    </w:p>
    <w:p>
      <w:pPr>
        <w:pStyle w:val="Heading2"/>
      </w:pPr>
      <w:r>
        <w:t>AI tool permission is separate</w:t>
      </w:r>
    </w:p>
    <w:p>
      <w:r>
        <w:rPr>
          <w:rFonts w:ascii="Arial" w:hAnsi="Arial" w:eastAsia="Arial" w:cs="Arial"/>
          <w:b w:val="0"/>
          <w:color w:val="000000"/>
          <w:sz w:val="22"/>
        </w:rPr>
        <w:t>R0 allows query and explanation; R1 allows analysis and simulation; R2 creates a draft; R3 submits it for approval. Submission is not approval. The person holding the relevant authority approves a baseline, performance statement or high-risk intent.</w:t>
      </w:r>
    </w:p>
    <w:p>
      <w:pPr>
        <w:pStyle w:val="Heading2"/>
      </w:pPr>
      <w:r>
        <w:t>Site execution remains local</w:t>
      </w:r>
    </w:p>
    <w:p>
      <w:r>
        <w:rPr>
          <w:rFonts w:ascii="Arial" w:hAnsi="Arial" w:eastAsia="Arial" w:cs="Arial"/>
          <w:b w:val="0"/>
          <w:color w:val="000000"/>
          <w:sz w:val="22"/>
        </w:rPr>
        <w:t>Existing BMS, PLC, edge and OEM systems retain the final commands and equipment protections. The energy software does not introduce protocol commands into a language-model answer. Detailed integration and functional testing are part of the agreed delivery scope.</w:t>
      </w:r>
    </w:p>
    <w:p>
      <w:pPr>
        <w:pStyle w:val="Heading2"/>
      </w:pPr>
      <w:r>
        <w:t>Response to a changed condition</w:t>
      </w:r>
    </w:p>
    <w:p>
      <w:r>
        <w:rPr>
          <w:rFonts w:ascii="Arial" w:hAnsi="Arial" w:eastAsia="Arial" w:cs="Arial"/>
          <w:b w:val="0"/>
          <w:color w:val="000000"/>
          <w:sz w:val="22"/>
        </w:rPr>
        <w:t>An expired intent, stale critical point, unavailable device or breached envelope triggers the agreed pause or fallback. The site team can stop the strategy and continue authorized operation. The event and its effect on performance are retained for review.</w:t>
      </w:r>
    </w:p>
    <w:p>
      <w:r>
        <w:br w:type="page"/>
      </w:r>
    </w:p>
    <w:p>
      <w:pPr>
        <w:pStyle w:val="Heading1"/>
        <w:spacing w:before="0"/>
      </w:pPr>
      <w:r>
        <w:rPr>
          <w:sz w:val="38"/>
        </w:rPr>
        <w:t>The Triple SLA</w:t>
      </w:r>
    </w:p>
    <w:p>
      <w:r>
        <w:rPr>
          <w:rFonts w:ascii="Arial" w:hAnsi="Arial" w:eastAsia="Arial" w:cs="Arial"/>
          <w:b w:val="0"/>
          <w:color w:val="000000"/>
          <w:sz w:val="22"/>
        </w:rPr>
        <w:t>The service follows three contracted outcomes separately, with a clear boundary and measurement basis for each.</w:t>
      </w:r>
    </w:p>
    <w:p>
      <w:pPr>
        <w:pStyle w:val="Heading2"/>
      </w:pPr>
      <w:r>
        <w:t>Energy and Water Performance</w:t>
      </w:r>
    </w:p>
    <w:p>
      <w:r>
        <w:rPr>
          <w:rFonts w:ascii="Arial" w:hAnsi="Arial" w:eastAsia="Arial" w:cs="Arial"/>
          <w:b w:val="0"/>
          <w:color w:val="000000"/>
          <w:sz w:val="22"/>
        </w:rPr>
        <w:t>This outcome uses the agreed resource boundary, normalized comparison and M&amp;V statement. It identifies the relevant meters, reporting period, routine variables and material changes. Electricity, water and cooling can have distinct measurement and cost bases.</w:t>
      </w:r>
    </w:p>
    <w:p>
      <w:pPr>
        <w:pStyle w:val="Heading2"/>
      </w:pPr>
      <w:r>
        <w:t>Indoor Environment</w:t>
      </w:r>
    </w:p>
    <w:p>
      <w:r>
        <w:rPr>
          <w:rFonts w:ascii="Arial" w:hAnsi="Arial" w:eastAsia="Arial" w:cs="Arial"/>
          <w:b w:val="0"/>
          <w:color w:val="000000"/>
          <w:sz w:val="22"/>
        </w:rPr>
        <w:t>This outcome covers agreed common areas, occupied periods, representative sensors and limits. The basic measure can use valid occupied-space time within the agreed temperature and humidity bands. Where the required inputs exist, a selected thermal-comfort method can add detail.</w:t>
      </w:r>
    </w:p>
    <w:p>
      <w:r>
        <w:rPr>
          <w:rFonts w:ascii="Arial" w:hAnsi="Arial" w:eastAsia="Arial" w:cs="Arial"/>
          <w:b w:val="0"/>
          <w:color w:val="000000"/>
          <w:sz w:val="22"/>
        </w:rPr>
        <w:t>Sensor quality and operating responsibility are visible in the denominator and event record. Relevant complaints and recovery information can support the operating review.</w:t>
      </w:r>
    </w:p>
    <w:p>
      <w:pPr>
        <w:pStyle w:val="Heading2"/>
      </w:pPr>
      <w:r>
        <w:t>Contracted Equipment Availability</w:t>
      </w:r>
    </w:p>
    <w:p>
      <w:r>
        <w:rPr>
          <w:rFonts w:ascii="Arial" w:hAnsi="Arial" w:eastAsia="Arial" w:cs="Arial"/>
          <w:b w:val="0"/>
          <w:color w:val="000000"/>
          <w:sz w:val="22"/>
        </w:rPr>
        <w:t>This outcome covers a named equipment list and the periods when service is required. The calculation uses evidence that equipment can provide the required capacity, rather than assuming that a single run signal proves availability. Capacity reduction, redundancy and restoration events are handled by the agreed method.</w:t>
      </w:r>
    </w:p>
    <w:p>
      <w:pPr>
        <w:pStyle w:val="Heading2"/>
      </w:pPr>
      <w:r>
        <w:t>Review the outcomes together</w:t>
      </w:r>
    </w:p>
    <w:p>
      <w:r>
        <w:rPr>
          <w:rFonts w:ascii="Arial" w:hAnsi="Arial" w:eastAsia="Arial" w:cs="Arial"/>
          <w:b w:val="0"/>
          <w:color w:val="000000"/>
          <w:sz w:val="22"/>
        </w:rPr>
        <w:t>Each outcome retains its own target, result, evidence and review state. The service considers resource improvement alongside indoor conditions and required operation. A platform availability target is a separate software-service measure, not the third building outcome.</w:t>
      </w:r>
    </w:p>
    <w:p>
      <w:pPr>
        <w:pStyle w:val="Heading2"/>
      </w:pPr>
      <w:r>
        <w:t>The project schedule specifies</w:t>
      </w:r>
    </w:p>
    <w:p>
      <w:pPr>
        <w:pStyle w:val="ListBullet"/>
      </w:pPr>
      <w:r>
        <w:rPr>
          <w:rFonts w:ascii="Arial" w:hAnsi="Arial" w:eastAsia="Arial" w:cs="Arial"/>
          <w:b w:val="0"/>
          <w:color w:val="000000"/>
          <w:sz w:val="22"/>
        </w:rPr>
        <w:t>Meters, common areas, equipment and operating periods included.</w:t>
      </w:r>
    </w:p>
    <w:p>
      <w:pPr>
        <w:pStyle w:val="ListBullet"/>
      </w:pPr>
      <w:r>
        <w:rPr>
          <w:rFonts w:ascii="Arial" w:hAnsi="Arial" w:eastAsia="Arial" w:cs="Arial"/>
          <w:b w:val="0"/>
          <w:color w:val="000000"/>
          <w:sz w:val="22"/>
        </w:rPr>
        <w:t>Targets, tolerances, evidence coverage and reporting frequency.</w:t>
      </w:r>
    </w:p>
    <w:p>
      <w:pPr>
        <w:pStyle w:val="ListBullet"/>
      </w:pPr>
      <w:r>
        <w:rPr>
          <w:rFonts w:ascii="Arial" w:hAnsi="Arial" w:eastAsia="Arial" w:cs="Arial"/>
          <w:b w:val="0"/>
          <w:color w:val="000000"/>
          <w:sz w:val="22"/>
        </w:rPr>
        <w:t>Responsibility for changes, maintenance and relevant external events.</w:t>
      </w:r>
    </w:p>
    <w:p>
      <w:pPr>
        <w:pStyle w:val="ListBullet"/>
      </w:pPr>
      <w:r>
        <w:rPr>
          <w:rFonts w:ascii="Arial" w:hAnsi="Arial" w:eastAsia="Arial" w:cs="Arial"/>
          <w:b w:val="0"/>
          <w:color w:val="000000"/>
          <w:sz w:val="22"/>
        </w:rPr>
        <w:t>Review, correction and any agreed performance-linked commercial mechanism.</w:t>
      </w:r>
    </w:p>
    <w:p>
      <w:r>
        <w:br w:type="page"/>
      </w:r>
    </w:p>
    <w:p>
      <w:pPr>
        <w:pStyle w:val="Heading1"/>
        <w:spacing w:before="0"/>
      </w:pPr>
      <w:r>
        <w:rPr>
          <w:sz w:val="38"/>
        </w:rPr>
        <w:t>Deployment Security and Data Ownership</w:t>
      </w:r>
    </w:p>
    <w:p>
      <w:r>
        <w:rPr>
          <w:rFonts w:ascii="Arial" w:hAnsi="Arial" w:eastAsia="Arial" w:cs="Arial"/>
          <w:b w:val="0"/>
          <w:color w:val="000000"/>
          <w:sz w:val="22"/>
        </w:rPr>
        <w:t>Select deployment and access arrangements that fit the customer’s data classification and operating environment.</w:t>
      </w:r>
    </w:p>
    <w:p>
      <w:pPr>
        <w:pStyle w:val="Heading2"/>
      </w:pPr>
      <w:r>
        <w:t>Deployment options</w:t>
      </w:r>
    </w:p>
    <w:p>
      <w:r>
        <w:rPr>
          <w:rFonts w:ascii="Arial" w:hAnsi="Arial" w:eastAsia="Arial" w:cs="Arial"/>
          <w:b w:val="0"/>
          <w:color w:val="000000"/>
          <w:sz w:val="22"/>
        </w:rPr>
        <w:t>The architecture can support UAE managed cloud, customer cloud, private deployment or a hybrid route. The chosen location, model providers and local/cloud processing are defined during technical selection. A local-only data policy can restrict relevant tasks to approved local tools and models.</w:t>
      </w:r>
    </w:p>
    <w:p>
      <w:r>
        <w:rPr>
          <w:rFonts w:ascii="Arial" w:hAnsi="Arial" w:eastAsia="Arial" w:cs="Arial"/>
          <w:b w:val="0"/>
          <w:color w:val="000000"/>
          <w:sz w:val="22"/>
        </w:rPr>
        <w:t>Government, semi-government and other regulated customers require a project-specific review of approved hosting, data handling and access requirements. The delivery design records the chosen requirements rather than assuming one configuration fits every customer.</w:t>
      </w:r>
    </w:p>
    <w:p>
      <w:pPr>
        <w:pStyle w:val="Heading2"/>
      </w:pPr>
      <w:r>
        <w:t>IT and OT access</w:t>
      </w:r>
    </w:p>
    <w:p>
      <w:r>
        <w:rPr>
          <w:rFonts w:ascii="Arial" w:hAnsi="Arial" w:eastAsia="Arial" w:cs="Arial"/>
          <w:b w:val="0"/>
          <w:color w:val="000000"/>
          <w:sz w:val="22"/>
        </w:rPr>
        <w:t>The design separates analytical access from site execution, with least privilege, role-based access, controlled remote access and audit records. OT review considers equipment reliability and safe operation alongside information security. NIST SP 800-82 provides an authoritative OT-security reference including building automation. [4]</w:t>
      </w:r>
    </w:p>
    <w:p>
      <w:pPr>
        <w:pStyle w:val="Heading2"/>
      </w:pPr>
      <w:r>
        <w:t>Agent security</w:t>
      </w:r>
    </w:p>
    <w:p>
      <w:r>
        <w:rPr>
          <w:rFonts w:ascii="Arial" w:hAnsi="Arial" w:eastAsia="Arial" w:cs="Arial"/>
          <w:b w:val="0"/>
          <w:color w:val="000000"/>
          <w:sz w:val="22"/>
        </w:rPr>
        <w:t>Retrieved documents and equipment text are treated as data, not as instructions. The tool gateway checks allowed tools, object scope, structured parameters and user authority. Context minimization, output checks, task budgets and targeted attack tests complement the language-model prompt.</w:t>
      </w:r>
    </w:p>
    <w:p>
      <w:pPr>
        <w:pStyle w:val="Heading2"/>
      </w:pPr>
      <w:r>
        <w:t>Data and exit</w:t>
      </w:r>
    </w:p>
    <w:p>
      <w:r>
        <w:rPr>
          <w:rFonts w:ascii="Arial" w:hAnsi="Arial" w:eastAsia="Arial" w:cs="Arial"/>
          <w:b w:val="0"/>
          <w:color w:val="000000"/>
          <w:sz w:val="22"/>
        </w:rPr>
        <w:t>The project defines rights to raw site data, contract reports and agreed site-configuration exports, together with retention, permitted use and transition assistance. G4U’s platform source code, background methods and general model libraries are handled separately from customer data.</w:t>
      </w:r>
    </w:p>
    <w:p>
      <w:r>
        <w:rPr>
          <w:rFonts w:ascii="Arial" w:hAnsi="Arial" w:eastAsia="Arial" w:cs="Arial"/>
          <w:b w:val="0"/>
          <w:color w:val="000000"/>
          <w:sz w:val="22"/>
        </w:rPr>
        <w:t>Site data is not used for general model training without the relevant authorization. Logs, evidence and memory follow their own approved access and retention rules.</w:t>
      </w:r>
    </w:p>
    <w:p>
      <w:pPr>
        <w:pStyle w:val="Heading2"/>
      </w:pPr>
      <w:r>
        <w:t>Resilience</w:t>
      </w:r>
    </w:p>
    <w:p>
      <w:r>
        <w:rPr>
          <w:rFonts w:ascii="Arial" w:hAnsi="Arial" w:eastAsia="Arial" w:cs="Arial"/>
          <w:b w:val="0"/>
          <w:color w:val="000000"/>
          <w:sz w:val="22"/>
        </w:rPr>
        <w:t>Cloud-model unavailability can leave deployed local analytical functions operating and switch the assistant to an approved local or structured-result route. Backup, recovery objectives and restore tests are agreed for the selected deployment.</w:t>
      </w:r>
    </w:p>
    <w:p>
      <w:r>
        <w:br w:type="page"/>
      </w:r>
    </w:p>
    <w:p>
      <w:pPr>
        <w:pStyle w:val="Heading1"/>
        <w:spacing w:before="0"/>
      </w:pPr>
      <w:r>
        <w:rPr>
          <w:sz w:val="38"/>
        </w:rPr>
        <w:t>Model Governance and Continuous Improvement</w:t>
      </w:r>
    </w:p>
    <w:p>
      <w:r>
        <w:rPr>
          <w:rFonts w:ascii="Arial" w:hAnsi="Arial" w:eastAsia="Arial" w:cs="Arial"/>
          <w:b w:val="0"/>
          <w:color w:val="000000"/>
          <w:sz w:val="22"/>
        </w:rPr>
        <w:t>A useful learning process improves the solution without changing formal results or operating authority silently.</w:t>
      </w:r>
    </w:p>
    <w:p>
      <w:pPr>
        <w:pStyle w:val="Heading2"/>
      </w:pPr>
      <w:r>
        <w:t>Keep a registry of what affects the result</w:t>
      </w:r>
    </w:p>
    <w:p>
      <w:r>
        <w:rPr>
          <w:rFonts w:ascii="Arial" w:hAnsi="Arial" w:eastAsia="Arial" w:cs="Arial"/>
          <w:b w:val="0"/>
          <w:color w:val="000000"/>
          <w:sz w:val="22"/>
        </w:rPr>
        <w:t>Models, Model Packs, prompts, tools and policies retain purpose, scope, owner, inputs, parameters, evaluation, limitations, dependencies, approval and rollback information. A production result identifies the relevant version.</w:t>
      </w:r>
    </w:p>
    <w:p>
      <w:r>
        <w:rPr>
          <w:rFonts w:ascii="Arial" w:hAnsi="Arial" w:eastAsia="Arial" w:cs="Arial"/>
          <w:b w:val="0"/>
          <w:color w:val="000000"/>
          <w:sz w:val="22"/>
        </w:rPr>
        <w:t>This allows a reviewer to reproduce an earlier performance statement even after a newer model is introduced. New versions remain distinguishable from the version used for an existing calculation.</w:t>
      </w:r>
    </w:p>
    <w:p>
      <w:pPr>
        <w:pStyle w:val="Heading2"/>
      </w:pPr>
      <w:r>
        <w:t>From candidate to production</w:t>
      </w:r>
    </w:p>
    <w:p>
      <w:r>
        <w:rPr>
          <w:rFonts w:ascii="Arial" w:hAnsi="Arial" w:eastAsia="Arial" w:cs="Arial"/>
          <w:b w:val="0"/>
          <w:color w:val="000000"/>
          <w:sz w:val="22"/>
        </w:rPr>
        <w:t>A candidate is tested offline, compared with a simple method, evaluated on missing data and boundary cases, and observed in shadow operation. Expert review and a limited release precede wider use. The project specifies the evidence required for each selected module.</w:t>
      </w:r>
    </w:p>
    <w:p>
      <w:pPr>
        <w:pStyle w:val="Heading2"/>
      </w:pPr>
      <w:r>
        <w:t>Feedback and memory</w:t>
      </w:r>
    </w:p>
    <w:p>
      <w:r>
        <w:rPr>
          <w:rFonts w:ascii="Arial" w:hAnsi="Arial" w:eastAsia="Arial" w:cs="Arial"/>
          <w:b w:val="0"/>
          <w:color w:val="000000"/>
          <w:sz w:val="22"/>
        </w:rPr>
        <w:t>Operator corrections and site observations first become reviewable candidates. Confirmed facts and verified cases are approved for their appropriate site and time scope. The assistant can retain preferences and task state, while authoritative equipment facts have source and expiry information.</w:t>
      </w:r>
    </w:p>
    <w:p>
      <w:r>
        <w:rPr>
          <w:rFonts w:ascii="Arial" w:hAnsi="Arial" w:eastAsia="Arial" w:cs="Arial"/>
          <w:b w:val="0"/>
          <w:color w:val="000000"/>
          <w:sz w:val="22"/>
        </w:rPr>
        <w:t>Performance drift triggers review, calibration, a new candidate or fallback. Learning is managed through tests and release approval rather than unrestricted online changes to production rules or weights.</w:t>
      </w:r>
    </w:p>
    <w:p>
      <w:pPr>
        <w:pStyle w:val="Heading2"/>
      </w:pPr>
      <w:r>
        <w:t>Measure the right quality</w:t>
      </w:r>
    </w:p>
    <w:p>
      <w:pPr>
        <w:pStyle w:val="ListBullet"/>
      </w:pPr>
      <w:r>
        <w:rPr>
          <w:rFonts w:ascii="Arial" w:hAnsi="Arial" w:eastAsia="Arial" w:cs="Arial"/>
          <w:b w:val="0"/>
          <w:color w:val="000000"/>
          <w:sz w:val="22"/>
        </w:rPr>
        <w:t>Data coverage, timeliness and failed checks.</w:t>
      </w:r>
    </w:p>
    <w:p>
      <w:pPr>
        <w:pStyle w:val="ListBullet"/>
      </w:pPr>
      <w:r>
        <w:rPr>
          <w:rFonts w:ascii="Arial" w:hAnsi="Arial" w:eastAsia="Arial" w:cs="Arial"/>
          <w:b w:val="0"/>
          <w:color w:val="000000"/>
          <w:sz w:val="22"/>
        </w:rPr>
        <w:t>Model bias, error, operating range and interval coverage.</w:t>
      </w:r>
    </w:p>
    <w:p>
      <w:pPr>
        <w:pStyle w:val="ListBullet"/>
      </w:pPr>
      <w:r>
        <w:rPr>
          <w:rFonts w:ascii="Arial" w:hAnsi="Arial" w:eastAsia="Arial" w:cs="Arial"/>
          <w:b w:val="0"/>
          <w:color w:val="000000"/>
          <w:sz w:val="22"/>
        </w:rPr>
        <w:t>Diagnostic false alerts, confirmation and useful detection time.</w:t>
      </w:r>
    </w:p>
    <w:p>
      <w:pPr>
        <w:pStyle w:val="ListBullet"/>
      </w:pPr>
      <w:r>
        <w:rPr>
          <w:rFonts w:ascii="Arial" w:hAnsi="Arial" w:eastAsia="Arial" w:cs="Arial"/>
          <w:b w:val="0"/>
          <w:color w:val="000000"/>
          <w:sz w:val="22"/>
        </w:rPr>
        <w:t>Agent task success, tool choice, evidence quality and permission behavior.</w:t>
      </w:r>
    </w:p>
    <w:p>
      <w:pPr>
        <w:pStyle w:val="ListBullet"/>
      </w:pPr>
      <w:r>
        <w:rPr>
          <w:rFonts w:ascii="Arial" w:hAnsi="Arial" w:eastAsia="Arial" w:cs="Arial"/>
          <w:b w:val="0"/>
          <w:color w:val="000000"/>
          <w:sz w:val="22"/>
        </w:rPr>
        <w:t>Time from discovery to action and verification.</w:t>
      </w:r>
    </w:p>
    <w:p>
      <w:pPr>
        <w:pStyle w:val="Heading2"/>
      </w:pPr>
      <w:r>
        <w:t>Governance reference</w:t>
      </w:r>
    </w:p>
    <w:p>
      <w:r>
        <w:rPr>
          <w:rFonts w:ascii="Arial" w:hAnsi="Arial" w:eastAsia="Arial" w:cs="Arial"/>
          <w:b w:val="0"/>
          <w:color w:val="000000"/>
          <w:sz w:val="22"/>
        </w:rPr>
        <w:t>The NIST AI Risk Management Framework is a voluntary reference for considering AI risk throughout design, development, use and evaluation. It is a useful review framework, not a product certification. [5]</w:t>
      </w:r>
    </w:p>
    <w:p>
      <w:r>
        <w:br w:type="page"/>
      </w:r>
    </w:p>
    <w:p>
      <w:pPr>
        <w:pStyle w:val="Heading1"/>
        <w:spacing w:before="0"/>
      </w:pPr>
      <w:r>
        <w:rPr>
          <w:sz w:val="38"/>
        </w:rPr>
        <w:t>Engineering Delivery and Commissioning</w:t>
      </w:r>
    </w:p>
    <w:p>
      <w:r>
        <w:rPr>
          <w:rFonts w:ascii="Arial" w:hAnsi="Arial" w:eastAsia="Arial" w:cs="Arial"/>
          <w:b w:val="0"/>
          <w:color w:val="000000"/>
          <w:sz w:val="22"/>
        </w:rPr>
        <w:t>Physical improvement follows the building’s actual load, asset condition and operating constraints.</w:t>
      </w:r>
    </w:p>
    <w:p>
      <w:pPr>
        <w:pStyle w:val="Heading2"/>
      </w:pPr>
      <w:r>
        <w:t>Prioritize the measure</w:t>
      </w:r>
    </w:p>
    <w:p>
      <w:r>
        <w:rPr>
          <w:rFonts w:ascii="Arial" w:hAnsi="Arial" w:eastAsia="Arial" w:cs="Arial"/>
          <w:b w:val="0"/>
          <w:color w:val="000000"/>
          <w:sz w:val="22"/>
        </w:rPr>
        <w:t>Early measures may include calendar correction, tuning, balancing, sequence review and recommissioning. Further work can include metering, drives, pumping, cooling-plant or AHU modernization and suitable envelope improvements. Equipment and material choices follow the assessment rather than a fixed catalogue.</w:t>
      </w:r>
    </w:p>
    <w:p>
      <w:pPr>
        <w:pStyle w:val="Heading2"/>
      </w:pPr>
      <w:r>
        <w:t>Prepare a complete design basis</w:t>
      </w:r>
    </w:p>
    <w:p>
      <w:r>
        <w:rPr>
          <w:rFonts w:ascii="Arial" w:hAnsi="Arial" w:eastAsia="Arial" w:cs="Arial"/>
          <w:b w:val="0"/>
          <w:color w:val="000000"/>
          <w:sz w:val="22"/>
        </w:rPr>
        <w:t>For a major equipment improvement, review the load profile, operating conditions, capacity, redundancy, hydraulic or airside requirements, interfaces, expected performance and lifecycle economics. The delivery plan includes access, outage windows, installation and verification.</w:t>
      </w:r>
    </w:p>
    <w:p>
      <w:r>
        <w:rPr>
          <w:rFonts w:ascii="Arial" w:hAnsi="Arial" w:eastAsia="Arial" w:cs="Arial"/>
          <w:b w:val="0"/>
          <w:color w:val="000000"/>
          <w:sz w:val="22"/>
        </w:rPr>
        <w:t>Qualified design, construction and equipment partners carry their specified delivery responsibilities. G4U coordinates the performance basis, energy intelligence, measurement and customer-facing improvement plan.</w:t>
      </w:r>
    </w:p>
    <w:p>
      <w:pPr>
        <w:pStyle w:val="Heading2"/>
      </w:pPr>
      <w:r>
        <w:t>Commission the relevant behavior</w:t>
      </w:r>
    </w:p>
    <w:p>
      <w:r>
        <w:rPr>
          <w:rFonts w:ascii="Arial" w:hAnsi="Arial" w:eastAsia="Arial" w:cs="Arial"/>
          <w:b w:val="0"/>
          <w:color w:val="000000"/>
          <w:sz w:val="22"/>
        </w:rPr>
        <w:t>The test sequence may include design review, factory checks where relevant, arrival inspection, point-to-point checks, site acceptance and functional performance tests. An operating strategy is checked against its expected response, constraints and fallback.</w:t>
      </w:r>
    </w:p>
    <w:p>
      <w:r>
        <w:rPr>
          <w:rFonts w:ascii="Arial" w:hAnsi="Arial" w:eastAsia="Arial" w:cs="Arial"/>
          <w:b w:val="0"/>
          <w:color w:val="000000"/>
          <w:sz w:val="22"/>
        </w:rPr>
        <w:t>Mechanical completion, initial operating acceptance and seasonal performance acceptance are distinguished where the operating conditions require them. Training, configuration backups, defects and the planned verification window are part of handover.</w:t>
      </w:r>
    </w:p>
    <w:p>
      <w:pPr>
        <w:pStyle w:val="Heading2"/>
      </w:pPr>
      <w:r>
        <w:t>Connect engineering to the ledger</w:t>
      </w:r>
    </w:p>
    <w:p>
      <w:r>
        <w:rPr>
          <w:rFonts w:ascii="Arial" w:hAnsi="Arial" w:eastAsia="Arial" w:cs="Arial"/>
          <w:b w:val="0"/>
          <w:color w:val="000000"/>
          <w:sz w:val="22"/>
        </w:rPr>
        <w:t>An equipment or sequence change is recorded with its effective time and system boundary. The M&amp;V plan describes the before and after comparison, and the action record links site completion to the performance check.</w:t>
      </w:r>
    </w:p>
    <w:p>
      <w:pPr>
        <w:pStyle w:val="Heading2"/>
      </w:pPr>
      <w:r>
        <w:t>Customer selection question</w:t>
      </w:r>
    </w:p>
    <w:p>
      <w:r>
        <w:rPr>
          <w:rFonts w:ascii="Arial" w:hAnsi="Arial" w:eastAsia="Arial" w:cs="Arial"/>
          <w:b w:val="0"/>
          <w:color w:val="000000"/>
          <w:sz w:val="22"/>
        </w:rPr>
        <w:t>Who is accountable for the design, equipment, construction, test and measured result, and how are the handoffs recorded in one delivery plan?</w:t>
      </w:r>
    </w:p>
    <w:p>
      <w:r>
        <w:br w:type="page"/>
      </w:r>
    </w:p>
    <w:p>
      <w:pPr>
        <w:pStyle w:val="Heading1"/>
        <w:spacing w:before="0"/>
      </w:pPr>
      <w:r>
        <w:rPr>
          <w:sz w:val="38"/>
        </w:rPr>
        <w:t>Managed Performance and Product Family Extensions</w:t>
      </w:r>
    </w:p>
    <w:p>
      <w:r>
        <w:rPr>
          <w:rFonts w:ascii="Arial" w:hAnsi="Arial" w:eastAsia="Arial" w:cs="Arial"/>
          <w:b w:val="0"/>
          <w:color w:val="000000"/>
          <w:sz w:val="22"/>
        </w:rPr>
        <w:t>The service continues after the first improvement so operating changes and new opportunities stay visible.</w:t>
      </w:r>
    </w:p>
    <w:p>
      <w:pPr>
        <w:pStyle w:val="Heading2"/>
      </w:pPr>
      <w:r>
        <w:t>A continuing operating cycle</w:t>
      </w:r>
    </w:p>
    <w:p>
      <w:r>
        <w:rPr>
          <w:rFonts w:ascii="Arial" w:hAnsi="Arial" w:eastAsia="Arial" w:cs="Arial"/>
          <w:b w:val="0"/>
          <w:color w:val="000000"/>
          <w:sz w:val="22"/>
        </w:rPr>
        <w:t>Managed Performance monitors consumption and key conditions, reviews exceptions, agrees tuning, verifies effects and updates the asset and improvement plan. Monthly performance reviews and periodic management decisions keep the program connected to the owner’s priorities.</w:t>
      </w:r>
    </w:p>
    <w:p>
      <w:r>
        <w:rPr>
          <w:rFonts w:ascii="Arial" w:hAnsi="Arial" w:eastAsia="Arial" w:cs="Arial"/>
          <w:b w:val="0"/>
          <w:color w:val="000000"/>
          <w:sz w:val="22"/>
        </w:rPr>
        <w:t>The service works with the customer’s FM organization and equipment support. The operating schedule identifies who confirms a site condition, who approves an adjustment and who responds to a physical fault.</w:t>
      </w:r>
    </w:p>
    <w:p>
      <w:pPr>
        <w:pStyle w:val="Heading2"/>
      </w:pPr>
      <w:r>
        <w:t>Long duration where the asset supports it</w:t>
      </w:r>
    </w:p>
    <w:p>
      <w:r>
        <w:rPr>
          <w:rFonts w:ascii="Arial" w:hAnsi="Arial" w:eastAsia="Arial" w:cs="Arial"/>
          <w:b w:val="0"/>
          <w:color w:val="000000"/>
          <w:sz w:val="22"/>
        </w:rPr>
        <w:t>A managed-service term is selected for the operating arrangement. A 10 to 20 year asset service can be considered when investment, equipment life, maintenance, replacement and the commercial structure align. Asset-specific schedules define warranty, remaining life, overhaul, transition and transfer arrangements.</w:t>
      </w:r>
    </w:p>
    <w:p>
      <w:pPr>
        <w:pStyle w:val="Heading2"/>
      </w:pPr>
      <w:r>
        <w:t>Reporting matched to the customer</w:t>
      </w:r>
    </w:p>
    <w:p>
      <w:r>
        <w:rPr>
          <w:rFonts w:ascii="Arial" w:hAnsi="Arial" w:eastAsia="Arial" w:cs="Arial"/>
          <w:b w:val="0"/>
          <w:color w:val="000000"/>
          <w:sz w:val="22"/>
        </w:rPr>
        <w:t>Detailed diagnostic analysis can remain within the operating team when the customer does not require it. Formal M&amp;V, SLA records and material decisions follow the agreed reporting and retention plan. Executives receive the value, risk and next investment decision rather than every diagnostic event.</w:t>
      </w:r>
    </w:p>
    <w:p>
      <w:pPr>
        <w:pStyle w:val="Heading2"/>
      </w:pPr>
      <w:r>
        <w:t>Optional connected services</w:t>
      </w:r>
    </w:p>
    <w:p>
      <w:r>
        <w:rPr>
          <w:rFonts w:ascii="Arial" w:hAnsi="Arial" w:eastAsia="Arial" w:cs="Arial"/>
          <w:b w:val="0"/>
          <w:color w:val="000000"/>
          <w:sz w:val="22"/>
        </w:rPr>
        <w:t>Connected FM workflows, security and access, fire-safety visibility, visitor management, meeting services, robots, dining and shopping can be introduced as optional members of the wider product family. Each extension has its own scope, integration and operating responsibility.</w:t>
      </w:r>
    </w:p>
    <w:p>
      <w:r>
        <w:rPr>
          <w:rFonts w:ascii="Arial" w:hAnsi="Arial" w:eastAsia="Arial" w:cs="Arial"/>
          <w:b w:val="0"/>
          <w:color w:val="000000"/>
          <w:sz w:val="22"/>
        </w:rPr>
        <w:t>The AI energy core remains focused on energy analysis and performance work. Existing life-safety systems retain their certified functions; an energy assistant does not replace them.</w:t>
      </w:r>
    </w:p>
    <w:p>
      <w:pPr>
        <w:pStyle w:val="Heading2"/>
      </w:pPr>
      <w:r>
        <w:t>Service selection</w:t>
      </w:r>
    </w:p>
    <w:p>
      <w:r>
        <w:rPr>
          <w:rFonts w:ascii="Arial" w:hAnsi="Arial" w:eastAsia="Arial" w:cs="Arial"/>
          <w:b w:val="0"/>
          <w:color w:val="000000"/>
          <w:sz w:val="22"/>
        </w:rPr>
        <w:t>Choose the extensions that solve a specific operating or occupant need. They need not delay the first energy project or become prerequisites for its measurement boundary.</w:t>
      </w:r>
    </w:p>
    <w:p>
      <w:r>
        <w:br w:type="page"/>
      </w:r>
    </w:p>
    <w:p>
      <w:pPr>
        <w:pStyle w:val="Heading1"/>
        <w:spacing w:before="0"/>
      </w:pPr>
      <w:r>
        <w:rPr>
          <w:sz w:val="38"/>
        </w:rPr>
        <w:t>The 90 Day Building Performance Assessment</w:t>
      </w:r>
    </w:p>
    <w:p>
      <w:r>
        <w:rPr>
          <w:rFonts w:ascii="Arial" w:hAnsi="Arial" w:eastAsia="Arial" w:cs="Arial"/>
          <w:b w:val="0"/>
          <w:color w:val="000000"/>
          <w:sz w:val="22"/>
        </w:rPr>
        <w:t>The paid assessment turns available information and site investigation into a practical improvement and investment decision.</w:t>
      </w:r>
    </w:p>
    <w:p>
      <w:pPr>
        <w:pStyle w:val="Heading2"/>
      </w:pPr>
      <w:r>
        <w:t>Establish the facts</w:t>
      </w:r>
    </w:p>
    <w:p>
      <w:r>
        <w:rPr>
          <w:rFonts w:ascii="Arial" w:hAnsi="Arial" w:eastAsia="Arial" w:cs="Arial"/>
          <w:b w:val="0"/>
          <w:color w:val="000000"/>
          <w:sz w:val="22"/>
        </w:rPr>
        <w:t>Confirm the building, sponsor, operating team and owner-controlled scope. Review bills, meters, equipment, schedules and relevant changes. Organize the energy hierarchy and identify the information that can support the initial analysis.</w:t>
      </w:r>
    </w:p>
    <w:p>
      <w:pPr>
        <w:pStyle w:val="Heading2"/>
      </w:pPr>
      <w:r>
        <w:t>Test the opportunities</w:t>
      </w:r>
    </w:p>
    <w:p>
      <w:r>
        <w:rPr>
          <w:rFonts w:ascii="Arial" w:hAnsi="Arial" w:eastAsia="Arial" w:cs="Arial"/>
          <w:b w:val="0"/>
          <w:color w:val="000000"/>
          <w:sz w:val="22"/>
        </w:rPr>
        <w:t>Investigate load patterns, equipment performance and operating issues. Inspect the relevant systems and compare low-cost actions with engineering measures. Agreed safe trials can add site evidence where access and operating conditions support them.</w:t>
      </w:r>
    </w:p>
    <w:p>
      <w:pPr>
        <w:pStyle w:val="Heading2"/>
      </w:pPr>
      <w:r>
        <w:t>Choose the next investment</w:t>
      </w:r>
    </w:p>
    <w:p>
      <w:r>
        <w:rPr>
          <w:rFonts w:ascii="Arial" w:hAnsi="Arial" w:eastAsia="Arial" w:cs="Arial"/>
          <w:b w:val="0"/>
          <w:color w:val="000000"/>
          <w:sz w:val="22"/>
        </w:rPr>
        <w:t>Prepare prioritized measures with their method, inputs, expected range, dependencies and verification approach. Discuss the engineering and managed-service route, deployment requirements and the commercial decision for the next phase.</w:t>
      </w:r>
    </w:p>
    <w:p>
      <w:pPr>
        <w:pStyle w:val="Heading2"/>
      </w:pPr>
      <w:r>
        <w:t>Core deliverables</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888"/>
        <w:gridCol w:w="6192"/>
      </w:tblGrid>
      <w:tr>
        <w:trPr>
          <w:tblHeader/>
          <w:cantSplit/>
        </w:trPr>
        <w:tc>
          <w:tcPr>
            <w:tcW w:type="dxa" w:w="3888"/>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Output</w:t>
            </w:r>
          </w:p>
        </w:tc>
        <w:tc>
          <w:tcPr>
            <w:tcW w:type="dxa" w:w="6192"/>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Customer use</w:t>
            </w:r>
          </w:p>
        </w:tc>
      </w:tr>
      <w:tr>
        <w:trPr>
          <w:cantSplit/>
        </w:trPr>
        <w:tc>
          <w:tcPr>
            <w:tcW w:type="dxa" w:w="388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Scope and equipment register</w:t>
            </w:r>
          </w:p>
        </w:tc>
        <w:tc>
          <w:tcPr>
            <w:tcW w:type="dxa" w:w="619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Confirm systems, ownership, data and operating responsibility</w:t>
            </w:r>
          </w:p>
        </w:tc>
      </w:tr>
      <w:tr>
        <w:trPr>
          <w:cantSplit/>
        </w:trPr>
        <w:tc>
          <w:tcPr>
            <w:tcW w:type="dxa" w:w="388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Data quality and meter assessment</w:t>
            </w:r>
          </w:p>
        </w:tc>
        <w:tc>
          <w:tcPr>
            <w:tcW w:type="dxa" w:w="619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Decide which analysis is ready and which measurement to improve</w:t>
            </w:r>
          </w:p>
        </w:tc>
      </w:tr>
      <w:tr>
        <w:trPr>
          <w:cantSplit/>
        </w:trPr>
        <w:tc>
          <w:tcPr>
            <w:tcW w:type="dxa" w:w="388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Baseline candidate and M&amp;V plan</w:t>
            </w:r>
          </w:p>
        </w:tc>
        <w:tc>
          <w:tcPr>
            <w:tcW w:type="dxa" w:w="619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Define the comparison and material-change process</w:t>
            </w:r>
          </w:p>
        </w:tc>
      </w:tr>
      <w:tr>
        <w:trPr>
          <w:cantSplit/>
        </w:trPr>
        <w:tc>
          <w:tcPr>
            <w:tcW w:type="dxa" w:w="388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Opportunity register and prioritized measures</w:t>
            </w:r>
          </w:p>
        </w:tc>
        <w:tc>
          <w:tcPr>
            <w:tcW w:type="dxa" w:w="619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Choose practical operating and engineering improvements</w:t>
            </w:r>
          </w:p>
        </w:tc>
      </w:tr>
      <w:tr>
        <w:trPr>
          <w:cantSplit/>
        </w:trPr>
        <w:tc>
          <w:tcPr>
            <w:tcW w:type="dxa" w:w="388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Trial and verification record where agreed</w:t>
            </w:r>
          </w:p>
        </w:tc>
        <w:tc>
          <w:tcPr>
            <w:tcW w:type="dxa" w:w="619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Inspect measured site response and constraints</w:t>
            </w:r>
          </w:p>
        </w:tc>
      </w:tr>
      <w:tr>
        <w:trPr>
          <w:cantSplit/>
        </w:trPr>
        <w:tc>
          <w:tcPr>
            <w:tcW w:type="dxa" w:w="388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Performance and implementation plan</w:t>
            </w:r>
          </w:p>
        </w:tc>
        <w:tc>
          <w:tcPr>
            <w:tcW w:type="dxa" w:w="619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Sequence delivery, acceptance, reporting and investment</w:t>
            </w:r>
          </w:p>
        </w:tc>
      </w:tr>
    </w:tbl>
    <w:p>
      <w:pPr>
        <w:spacing w:after="0"/>
      </w:pPr>
    </w:p>
    <w:p>
      <w:pPr>
        <w:pStyle w:val="Heading2"/>
      </w:pPr>
      <w:r>
        <w:t>A clear completion decision</w:t>
      </w:r>
    </w:p>
    <w:p>
      <w:r>
        <w:rPr>
          <w:rFonts w:ascii="Arial" w:hAnsi="Arial" w:eastAsia="Arial" w:cs="Arial"/>
          <w:b w:val="0"/>
          <w:color w:val="000000"/>
          <w:sz w:val="22"/>
        </w:rPr>
        <w:t>At the end of the assessment, the customer has a basis to continue, adjust the program or select a different investment. The next agreement identifies the chosen measures, modules, roles, timetable and performance schedule.</w:t>
      </w:r>
    </w:p>
    <w:p>
      <w:r>
        <w:br w:type="page"/>
      </w:r>
    </w:p>
    <w:p>
      <w:pPr>
        <w:pStyle w:val="Heading1"/>
        <w:spacing w:before="0"/>
      </w:pPr>
      <w:r>
        <w:rPr>
          <w:sz w:val="38"/>
        </w:rPr>
        <w:t>Readiness Delivery and Acceptance</w:t>
      </w:r>
    </w:p>
    <w:p>
      <w:r>
        <w:rPr>
          <w:rFonts w:ascii="Arial" w:hAnsi="Arial" w:eastAsia="Arial" w:cs="Arial"/>
          <w:b w:val="0"/>
          <w:color w:val="000000"/>
          <w:sz w:val="22"/>
        </w:rPr>
        <w:t>Agree a realistic configuration, then accept the functions through operating scenarios and evidence.</w:t>
      </w:r>
    </w:p>
    <w:p>
      <w:pPr>
        <w:pStyle w:val="Heading2"/>
      </w:pPr>
      <w:r>
        <w:t>Readiness information</w:t>
      </w:r>
    </w:p>
    <w:p>
      <w:r>
        <w:rPr>
          <w:rFonts w:ascii="Arial" w:hAnsi="Arial" w:eastAsia="Arial" w:cs="Arial"/>
          <w:b w:val="0"/>
          <w:color w:val="000000"/>
          <w:sz w:val="22"/>
        </w:rPr>
        <w:t>Useful initial inputs are electricity, water and cooling bills; operating and occupancy schedules; equipment lists; available meter and BMS trends; system drawings; maintenance and comfort records; and planned equipment changes. A named sponsor, operations contact and IT access route make the information actionable.</w:t>
      </w:r>
    </w:p>
    <w:p>
      <w:pPr>
        <w:pStyle w:val="Heading2"/>
      </w:pPr>
      <w:r>
        <w:t>Build in stages</w:t>
      </w:r>
    </w:p>
    <w:p>
      <w:r>
        <w:rPr>
          <w:rFonts w:ascii="Arial" w:hAnsi="Arial" w:eastAsia="Arial" w:cs="Arial"/>
          <w:b w:val="0"/>
          <w:color w:val="000000"/>
          <w:sz w:val="22"/>
        </w:rPr>
        <w:t>The project begins with scope and data validation, then configures the relevant equipment packs and analytical functions. Advanced modules are evaluated against site data before release. Approved operating trials follow the site-control and commissioning plan.</w:t>
      </w:r>
    </w:p>
    <w:p>
      <w:r>
        <w:rPr>
          <w:rFonts w:ascii="Arial" w:hAnsi="Arial" w:eastAsia="Arial" w:cs="Arial"/>
          <w:b w:val="0"/>
          <w:color w:val="000000"/>
          <w:sz w:val="22"/>
        </w:rPr>
        <w:t>The delivery schedule identifies dependencies such as data access, meter installation, equipment work and seasonal testing. Training and handover are included in the same plan.</w:t>
      </w:r>
    </w:p>
    <w:p>
      <w:pPr>
        <w:pStyle w:val="Heading2"/>
      </w:pPr>
      <w:r>
        <w:t>Customer acceptance evidence</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448"/>
        <w:gridCol w:w="7632"/>
      </w:tblGrid>
      <w:tr>
        <w:trPr>
          <w:tblHeader/>
          <w:cantSplit/>
        </w:trPr>
        <w:tc>
          <w:tcPr>
            <w:tcW w:type="dxa" w:w="2448"/>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Area</w:t>
            </w:r>
          </w:p>
        </w:tc>
        <w:tc>
          <w:tcPr>
            <w:tcW w:type="dxa" w:w="7632"/>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Useful acceptance check</w:t>
            </w:r>
          </w:p>
        </w:tc>
      </w:tr>
      <w:tr>
        <w:trPr>
          <w:cantSplit/>
        </w:trPr>
        <w:tc>
          <w:tcPr>
            <w:tcW w:type="dxa" w:w="244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Energy facts</w:t>
            </w:r>
          </w:p>
        </w:tc>
        <w:tc>
          <w:tcPr>
            <w:tcW w:type="dxa" w:w="763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Correct object, unit, interval, meter boundary and measured/estimated labels</w:t>
            </w:r>
          </w:p>
        </w:tc>
      </w:tr>
      <w:tr>
        <w:trPr>
          <w:cantSplit/>
        </w:trPr>
        <w:tc>
          <w:tcPr>
            <w:tcW w:type="dxa" w:w="244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Professional calculation</w:t>
            </w:r>
          </w:p>
        </w:tc>
        <w:tc>
          <w:tcPr>
            <w:tcW w:type="dxa" w:w="763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Repeat a result from the same data, configuration and model version</w:t>
            </w:r>
          </w:p>
        </w:tc>
      </w:tr>
      <w:tr>
        <w:trPr>
          <w:cantSplit/>
        </w:trPr>
        <w:tc>
          <w:tcPr>
            <w:tcW w:type="dxa" w:w="244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Model Packs</w:t>
            </w:r>
          </w:p>
        </w:tc>
        <w:tc>
          <w:tcPr>
            <w:tcW w:type="dxa" w:w="763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Representative normal, fault, missing-sensor and out-of-range cases</w:t>
            </w:r>
          </w:p>
        </w:tc>
      </w:tr>
      <w:tr>
        <w:trPr>
          <w:cantSplit/>
        </w:trPr>
        <w:tc>
          <w:tcPr>
            <w:tcW w:type="dxa" w:w="244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AI Assistant</w:t>
            </w:r>
          </w:p>
        </w:tc>
        <w:tc>
          <w:tcPr>
            <w:tcW w:type="dxa" w:w="763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Relevant tool choice, grounded answers, permission limits and clear failure path</w:t>
            </w:r>
          </w:p>
        </w:tc>
      </w:tr>
      <w:tr>
        <w:trPr>
          <w:cantSplit/>
        </w:trPr>
        <w:tc>
          <w:tcPr>
            <w:tcW w:type="dxa" w:w="244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Intent and site change</w:t>
            </w:r>
          </w:p>
        </w:tc>
        <w:tc>
          <w:tcPr>
            <w:tcW w:type="dxa" w:w="763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Approval, constraint tests, fallback and required functional test evidence</w:t>
            </w:r>
          </w:p>
        </w:tc>
      </w:tr>
      <w:tr>
        <w:trPr>
          <w:cantSplit/>
        </w:trPr>
        <w:tc>
          <w:tcPr>
            <w:tcW w:type="dxa" w:w="244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Performance record</w:t>
            </w:r>
          </w:p>
        </w:tc>
        <w:tc>
          <w:tcPr>
            <w:tcW w:type="dxa" w:w="763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Baseline, adjustment, uncertainty, SLA and review history</w:t>
            </w:r>
          </w:p>
        </w:tc>
      </w:tr>
      <w:tr>
        <w:trPr>
          <w:cantSplit/>
        </w:trPr>
        <w:tc>
          <w:tcPr>
            <w:tcW w:type="dxa" w:w="244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Service continuity</w:t>
            </w:r>
          </w:p>
        </w:tc>
        <w:tc>
          <w:tcPr>
            <w:tcW w:type="dxa" w:w="763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Selected deployment, backup and recovery tests, operating responsibilities</w:t>
            </w:r>
          </w:p>
        </w:tc>
      </w:tr>
    </w:tbl>
    <w:p>
      <w:pPr>
        <w:spacing w:after="0"/>
      </w:pPr>
    </w:p>
    <w:p>
      <w:pPr>
        <w:pStyle w:val="Heading2"/>
      </w:pPr>
      <w:r>
        <w:t>Handover</w:t>
      </w:r>
    </w:p>
    <w:p>
      <w:r>
        <w:rPr>
          <w:rFonts w:ascii="Arial" w:hAnsi="Arial" w:eastAsia="Arial" w:cs="Arial"/>
          <w:b w:val="0"/>
          <w:color w:val="000000"/>
          <w:sz w:val="22"/>
        </w:rPr>
        <w:t>The owner receives the agreed reports, configuration and operating information, training, open-defect plan and next review date. Each accepted module and boundary has a recorded version and responsible role.</w:t>
      </w:r>
    </w:p>
    <w:p>
      <w:r>
        <w:br w:type="page"/>
      </w:r>
    </w:p>
    <w:p>
      <w:pPr>
        <w:pStyle w:val="Heading1"/>
        <w:spacing w:before="0"/>
      </w:pPr>
      <w:r>
        <w:rPr>
          <w:sz w:val="38"/>
        </w:rPr>
        <w:t>Reference Cases and Procurement Questions</w:t>
      </w:r>
    </w:p>
    <w:p>
      <w:r>
        <w:rPr>
          <w:rFonts w:ascii="Arial" w:hAnsi="Arial" w:eastAsia="Arial" w:cs="Arial"/>
          <w:b w:val="0"/>
          <w:color w:val="000000"/>
          <w:sz w:val="22"/>
        </w:rPr>
        <w:t>Selected anonymous experience illustrates how digital capability, engineering and operating coordination can create value.</w:t>
      </w:r>
    </w:p>
    <w:p>
      <w:pPr>
        <w:pStyle w:val="Heading2"/>
      </w:pPr>
      <w:r>
        <w:t>Corporate headquarters</w:t>
      </w:r>
    </w:p>
    <w:p>
      <w:r>
        <w:rPr>
          <w:rFonts w:ascii="Arial" w:hAnsi="Arial" w:eastAsia="Arial" w:cs="Arial"/>
          <w:b w:val="0"/>
          <w:color w:val="000000"/>
          <w:sz w:val="22"/>
        </w:rPr>
        <w:t>Integrated smart-building and energy-management applications connected the operating information at a headquarters office. The project achieved 13.3% annual electricity savings. Its relevant lesson is the value of linking energy management with a unified operating view.</w:t>
      </w:r>
    </w:p>
    <w:p>
      <w:pPr>
        <w:pStyle w:val="Heading2"/>
      </w:pPr>
      <w:r>
        <w:t>Large commercial complex</w:t>
      </w:r>
    </w:p>
    <w:p>
      <w:r>
        <w:rPr>
          <w:rFonts w:ascii="Arial" w:hAnsi="Arial" w:eastAsia="Arial" w:cs="Arial"/>
          <w:b w:val="0"/>
          <w:color w:val="000000"/>
          <w:sz w:val="22"/>
        </w:rPr>
        <w:t>Central HVAC optimization coordinated cooling equipment and its auxiliaries. The project achieved 23% average HVAC energy savings. This is a system-level HVAC result, distinct from the headquarters’ annual electricity measure.</w:t>
      </w:r>
    </w:p>
    <w:p>
      <w:pPr>
        <w:pStyle w:val="Heading2"/>
      </w:pPr>
      <w:r>
        <w:t>Landmark commercial tower</w:t>
      </w:r>
    </w:p>
    <w:p>
      <w:r>
        <w:rPr>
          <w:rFonts w:ascii="Arial" w:hAnsi="Arial" w:eastAsia="Arial" w:cs="Arial"/>
          <w:b w:val="0"/>
          <w:color w:val="000000"/>
          <w:sz w:val="22"/>
        </w:rPr>
        <w:t>The delivered scope combined cooling-system modernization, AI optimization, monitoring, digital asset management and managed operation. It illustrates the link between equipment renewal and continued performance management.</w:t>
      </w:r>
    </w:p>
    <w:p>
      <w:pPr>
        <w:pStyle w:val="Heading2"/>
      </w:pPr>
      <w:r>
        <w:t>Questions for technical selection</w:t>
      </w:r>
    </w:p>
    <w:p>
      <w:pPr>
        <w:pStyle w:val="ListBullet"/>
      </w:pPr>
      <w:r>
        <w:rPr>
          <w:rFonts w:ascii="Arial" w:hAnsi="Arial" w:eastAsia="Arial" w:cs="Arial"/>
          <w:b w:val="0"/>
          <w:color w:val="000000"/>
          <w:sz w:val="22"/>
        </w:rPr>
        <w:t>Which systems, meters and areas are included, and what can the owner control?</w:t>
      </w:r>
    </w:p>
    <w:p>
      <w:pPr>
        <w:pStyle w:val="ListBullet"/>
      </w:pPr>
      <w:r>
        <w:rPr>
          <w:rFonts w:ascii="Arial" w:hAnsi="Arial" w:eastAsia="Arial" w:cs="Arial"/>
          <w:b w:val="0"/>
          <w:color w:val="000000"/>
          <w:sz w:val="22"/>
        </w:rPr>
        <w:t>Which modules are available now, which are configured during the project and how is each accepted?</w:t>
      </w:r>
    </w:p>
    <w:p>
      <w:pPr>
        <w:pStyle w:val="ListBullet"/>
      </w:pPr>
      <w:r>
        <w:rPr>
          <w:rFonts w:ascii="Arial" w:hAnsi="Arial" w:eastAsia="Arial" w:cs="Arial"/>
          <w:b w:val="0"/>
          <w:color w:val="000000"/>
          <w:sz w:val="22"/>
        </w:rPr>
        <w:t>Can key numbers be traced to a qualified data window and versioned calculation?</w:t>
      </w:r>
    </w:p>
    <w:p>
      <w:pPr>
        <w:pStyle w:val="ListBullet"/>
      </w:pPr>
      <w:r>
        <w:rPr>
          <w:rFonts w:ascii="Arial" w:hAnsi="Arial" w:eastAsia="Arial" w:cs="Arial"/>
          <w:b w:val="0"/>
          <w:color w:val="000000"/>
          <w:sz w:val="22"/>
        </w:rPr>
        <w:t>How are model range, missing data and sensor problems handled?</w:t>
      </w:r>
    </w:p>
    <w:p>
      <w:pPr>
        <w:pStyle w:val="ListBullet"/>
      </w:pPr>
      <w:r>
        <w:rPr>
          <w:rFonts w:ascii="Arial" w:hAnsi="Arial" w:eastAsia="Arial" w:cs="Arial"/>
          <w:b w:val="0"/>
          <w:color w:val="000000"/>
          <w:sz w:val="22"/>
        </w:rPr>
        <w:t>Can the assistant show its tools and evidence and prepare an approvable action?</w:t>
      </w:r>
    </w:p>
    <w:p>
      <w:pPr>
        <w:pStyle w:val="ListBullet"/>
      </w:pPr>
      <w:r>
        <w:rPr>
          <w:rFonts w:ascii="Arial" w:hAnsi="Arial" w:eastAsia="Arial" w:cs="Arial"/>
          <w:b w:val="0"/>
          <w:color w:val="000000"/>
          <w:sz w:val="22"/>
        </w:rPr>
        <w:t>How are site execution, equipment protection and rollback tested?</w:t>
      </w:r>
    </w:p>
    <w:p>
      <w:pPr>
        <w:pStyle w:val="ListBullet"/>
      </w:pPr>
      <w:r>
        <w:rPr>
          <w:rFonts w:ascii="Arial" w:hAnsi="Arial" w:eastAsia="Arial" w:cs="Arial"/>
          <w:b w:val="0"/>
          <w:color w:val="000000"/>
          <w:sz w:val="22"/>
        </w:rPr>
        <w:t>What is the baseline, material-change and Triple SLA approach?</w:t>
      </w:r>
    </w:p>
    <w:p>
      <w:pPr>
        <w:pStyle w:val="ListBullet"/>
      </w:pPr>
      <w:r>
        <w:rPr>
          <w:rFonts w:ascii="Arial" w:hAnsi="Arial" w:eastAsia="Arial" w:cs="Arial"/>
          <w:b w:val="0"/>
          <w:color w:val="000000"/>
          <w:sz w:val="22"/>
        </w:rPr>
        <w:t>Who delivers engineering, commissioning, service and any asset investment?</w:t>
      </w:r>
    </w:p>
    <w:p>
      <w:pPr>
        <w:pStyle w:val="ListBullet"/>
      </w:pPr>
      <w:r>
        <w:rPr>
          <w:rFonts w:ascii="Arial" w:hAnsi="Arial" w:eastAsia="Arial" w:cs="Arial"/>
          <w:b w:val="0"/>
          <w:color w:val="000000"/>
          <w:sz w:val="22"/>
        </w:rPr>
        <w:t>What data, reports and configuration can the customer receive at handover or exit?</w:t>
      </w:r>
    </w:p>
    <w:p>
      <w:pPr>
        <w:pStyle w:val="Heading2"/>
      </w:pPr>
      <w:r>
        <w:t>The next discussion</w:t>
      </w:r>
    </w:p>
    <w:p>
      <w:r>
        <w:rPr>
          <w:rFonts w:ascii="Arial" w:hAnsi="Arial" w:eastAsia="Arial" w:cs="Arial"/>
          <w:b w:val="0"/>
          <w:color w:val="000000"/>
          <w:sz w:val="22"/>
        </w:rPr>
        <w:t>Select one candidate building and bring the asset manager, facilities or engineering lead and the relevant IT and procurement colleagues. Use the preparation checklist to scope the assessment around the customer’s actual priority.</w:t>
      </w:r>
    </w:p>
    <w:p>
      <w:r>
        <w:br w:type="page"/>
      </w:r>
    </w:p>
    <w:p>
      <w:pPr>
        <w:pStyle w:val="Heading1"/>
        <w:spacing w:before="0"/>
      </w:pPr>
      <w:r>
        <w:rPr>
          <w:sz w:val="38"/>
        </w:rPr>
        <w:t>Algorithm Catalogue Energy Facts and Analysis</w:t>
      </w:r>
    </w:p>
    <w:p>
      <w:r>
        <w:rPr>
          <w:rFonts w:ascii="Arial" w:hAnsi="Arial" w:eastAsia="Arial" w:cs="Arial"/>
          <w:b w:val="0"/>
          <w:color w:val="000000"/>
          <w:sz w:val="22"/>
        </w:rPr>
        <w:t>Methods are selected for the data, equipment and decision. Alternative methods are evaluated when the main route does not meet the project’s applicability or acceptance requirements.</w:t>
      </w:r>
    </w:p>
    <w:p>
      <w:pPr>
        <w:spacing w:after="160"/>
      </w:pPr>
      <w:r>
        <w:rPr>
          <w:b/>
          <w:sz w:val="22"/>
        </w:rPr>
        <w:t xml:space="preserve">Data quality. </w:t>
      </w:r>
      <w:r>
        <w:rPr>
          <w:sz w:val="22"/>
        </w:rPr>
        <w:t>Main method: Deterministic engineering rules and robust window statistics. Detect unit, timing, completeness, stuck-value and consistency problems. Alternatives: Isolation Forest; One-Class SVM; autoencoder.</w:t>
      </w:r>
    </w:p>
    <w:p>
      <w:pPr>
        <w:spacing w:after="160"/>
      </w:pPr>
      <w:r>
        <w:rPr>
          <w:b/>
          <w:sz w:val="22"/>
        </w:rPr>
        <w:t xml:space="preserve">Gap handling. </w:t>
      </w:r>
      <w:r>
        <w:rPr>
          <w:sz w:val="22"/>
        </w:rPr>
        <w:t>Main method: Purpose-based interpolation and approved time-series estimation. Keep imputed information marked and fit the method to the use. Alternatives: Kalman smoother; similar-day; KNN; MICE.</w:t>
      </w:r>
    </w:p>
    <w:p>
      <w:pPr>
        <w:spacing w:after="160"/>
      </w:pPr>
      <w:r>
        <w:rPr>
          <w:b/>
          <w:sz w:val="22"/>
        </w:rPr>
        <w:t xml:space="preserve">Energy balance. </w:t>
      </w:r>
      <w:r>
        <w:rPr>
          <w:sz w:val="22"/>
        </w:rPr>
        <w:t>Main method: Meter topology and weighted least squares. Compare measured flows and calculate a traceable derived reconciliation. Alternatives: Constrained Kalman filter; robust optimization.</w:t>
      </w:r>
    </w:p>
    <w:p>
      <w:pPr>
        <w:spacing w:after="160"/>
      </w:pPr>
      <w:r>
        <w:rPr>
          <w:b/>
          <w:sz w:val="22"/>
        </w:rPr>
        <w:t xml:space="preserve">Virtual metering. </w:t>
      </w:r>
      <w:r>
        <w:rPr>
          <w:sz w:val="22"/>
        </w:rPr>
        <w:t>Main method: Calibrated equipment engineering model. Estimate load from equipment facts and qualified operating signals. Alternatives: Gradient boosting; Bayesian hierarchical model; research NILM.</w:t>
      </w:r>
    </w:p>
    <w:p>
      <w:pPr>
        <w:spacing w:after="160"/>
      </w:pPr>
      <w:r>
        <w:rPr>
          <w:b/>
          <w:sz w:val="22"/>
        </w:rPr>
        <w:t xml:space="preserve">Formal baseline. </w:t>
      </w:r>
      <w:r>
        <w:rPr>
          <w:sz w:val="22"/>
        </w:rPr>
        <w:t>Main method: Multivariable change-point regression. Represent expected energy with weather and operating conditions. Alternatives: GAM; spline; gradient boosting; SARIMAX; grey-box.</w:t>
      </w:r>
    </w:p>
    <w:p>
      <w:pPr>
        <w:spacing w:after="160"/>
      </w:pPr>
      <w:r>
        <w:rPr>
          <w:b/>
          <w:sz w:val="22"/>
        </w:rPr>
        <w:t xml:space="preserve">Operating baseline. </w:t>
      </w:r>
      <w:r>
        <w:rPr>
          <w:sz w:val="22"/>
        </w:rPr>
        <w:t>Main method: Gradient boosting or GAM. Detect high-frequency deviation without replacing formal M&amp;V. Alternatives: SARIMAX; state-space; deep sequence models.</w:t>
      </w:r>
    </w:p>
    <w:p>
      <w:pPr>
        <w:spacing w:after="160"/>
      </w:pPr>
      <w:r>
        <w:rPr>
          <w:b/>
          <w:sz w:val="22"/>
        </w:rPr>
        <w:t xml:space="preserve">Normalization. </w:t>
      </w:r>
      <w:r>
        <w:rPr>
          <w:sz w:val="22"/>
        </w:rPr>
        <w:t>Main method: Approved-model counterfactual substitution. Compare periods under explicit reference conditions. Alternatives: Degree-day; matched-day.</w:t>
      </w:r>
    </w:p>
    <w:p>
      <w:pPr>
        <w:spacing w:after="160"/>
      </w:pPr>
      <w:r>
        <w:rPr>
          <w:b/>
          <w:sz w:val="22"/>
        </w:rPr>
        <w:t xml:space="preserve">M&amp;V. </w:t>
      </w:r>
      <w:r>
        <w:rPr>
          <w:sz w:val="22"/>
        </w:rPr>
        <w:t>Main method: Frozen-baseline comparison and approved adjustments. Calculate the result within whole-facility or isolated-measure boundaries. Alternatives: Option B isolation; calibrated simulation.</w:t>
      </w:r>
    </w:p>
    <w:p>
      <w:pPr>
        <w:spacing w:after="160"/>
      </w:pPr>
      <w:r>
        <w:rPr>
          <w:b/>
          <w:sz w:val="22"/>
        </w:rPr>
        <w:t xml:space="preserve">M&amp;V uncertainty. </w:t>
      </w:r>
      <w:r>
        <w:rPr>
          <w:sz w:val="22"/>
        </w:rPr>
        <w:t>Main method: Moving-block bootstrap and error propagation. Describe model, meter, gap and adjustment uncertainty. Alternatives: Analytical propagation; Bayesian posterior.</w:t>
      </w:r>
    </w:p>
    <w:p>
      <w:pPr>
        <w:spacing w:after="160"/>
      </w:pPr>
      <w:r>
        <w:rPr>
          <w:b/>
          <w:sz w:val="22"/>
        </w:rPr>
        <w:t xml:space="preserve">Anomaly detection. </w:t>
      </w:r>
      <w:r>
        <w:rPr>
          <w:sz w:val="22"/>
        </w:rPr>
        <w:t>Main method: Rules residuals change points and peer comparison. Combine evidence and correlate repeated symptoms. Alternatives: Isolation Forest; Bayesian change point; sequence autoencoder.</w:t>
      </w:r>
    </w:p>
    <w:p>
      <w:pPr>
        <w:spacing w:after="160"/>
      </w:pPr>
      <w:r>
        <w:rPr>
          <w:b/>
          <w:sz w:val="22"/>
        </w:rPr>
        <w:t xml:space="preserve">Root cause. </w:t>
      </w:r>
      <w:r>
        <w:rPr>
          <w:sz w:val="22"/>
        </w:rPr>
        <w:t>Main method: Causal topology and fault-signature evidence scoring. Rank possible causes and their validation checks. Alternatives: Bayesian network; knowledge graph; supervised classifier.</w:t>
      </w:r>
    </w:p>
    <w:p>
      <w:pPr>
        <w:spacing w:after="160"/>
      </w:pPr>
      <w:r>
        <w:rPr>
          <w:b/>
          <w:sz w:val="22"/>
        </w:rPr>
        <w:t xml:space="preserve">Impact estimation. </w:t>
      </w:r>
      <w:r>
        <w:rPr>
          <w:sz w:val="22"/>
        </w:rPr>
        <w:t>Main method: Event-window counterfactual integration. Estimate excess resource use while accounting for overlapping events. Alternatives: Matched healthy periods; physical performance gap; BSTS.</w:t>
      </w:r>
    </w:p>
    <w:p>
      <w:pPr>
        <w:spacing w:after="160"/>
      </w:pPr>
      <w:r>
        <w:rPr>
          <w:b/>
          <w:sz w:val="22"/>
        </w:rPr>
        <w:t xml:space="preserve">Load forecast. </w:t>
      </w:r>
      <w:r>
        <w:rPr>
          <w:sz w:val="22"/>
        </w:rPr>
        <w:t>Main method: Gradient boosting with calibrated quantiles. Forecast by horizon and compare with simple operating methods. Alternatives: GAM; SARIMAX; Prophet; grey-box; deep sequence models.</w:t>
      </w:r>
    </w:p>
    <w:p>
      <w:pPr>
        <w:spacing w:after="160"/>
      </w:pPr>
      <w:r>
        <w:rPr>
          <w:b/>
          <w:sz w:val="22"/>
        </w:rPr>
        <w:t xml:space="preserve">Forecast intervals. </w:t>
      </w:r>
      <w:r>
        <w:rPr>
          <w:sz w:val="22"/>
        </w:rPr>
        <w:t>Main method: Rolling conformal calibration. Check interval coverage and width as conditions change. Alternatives: Bootstrap ensemble; Bayesian predictive interval.</w:t>
      </w:r>
    </w:p>
    <w:p>
      <w:r>
        <w:br w:type="page"/>
      </w:r>
    </w:p>
    <w:p>
      <w:pPr>
        <w:pStyle w:val="Heading1"/>
        <w:spacing w:before="0"/>
      </w:pPr>
      <w:r>
        <w:rPr>
          <w:sz w:val="38"/>
        </w:rPr>
        <w:t>Algorithm Catalogue Engineering and Performance</w:t>
      </w:r>
    </w:p>
    <w:p>
      <w:r>
        <w:rPr>
          <w:rFonts w:ascii="Arial" w:hAnsi="Arial" w:eastAsia="Arial" w:cs="Arial"/>
          <w:b w:val="0"/>
          <w:color w:val="000000"/>
          <w:sz w:val="22"/>
        </w:rPr>
        <w:t>Methods are selected for the data, equipment and decision. Alternative methods are evaluated when the main route does not meet the project’s applicability or acceptance requirements.</w:t>
      </w:r>
    </w:p>
    <w:p>
      <w:pPr>
        <w:spacing w:after="160"/>
      </w:pPr>
      <w:r>
        <w:rPr>
          <w:b/>
          <w:sz w:val="22"/>
        </w:rPr>
        <w:t xml:space="preserve">Scenario comparison. </w:t>
      </w:r>
      <w:r>
        <w:rPr>
          <w:sz w:val="22"/>
        </w:rPr>
        <w:t>Main method: Approved forecast grey-box or engineering tool. Calculate a defined historical, future or equipment scenario. Alternatives: Calibrated simulation; causal inference.</w:t>
      </w:r>
    </w:p>
    <w:p>
      <w:pPr>
        <w:spacing w:after="160"/>
      </w:pPr>
      <w:r>
        <w:rPr>
          <w:b/>
          <w:sz w:val="22"/>
        </w:rPr>
        <w:t xml:space="preserve">Rolling optimization. </w:t>
      </w:r>
      <w:r>
        <w:rPr>
          <w:sz w:val="22"/>
        </w:rPr>
        <w:t>Main method: Constrained Model Predictive Control. Compare feasible operating strategies over a rolling horizon. Alternatives: MILP; nonlinear MPC; rules; bounded Bayesian optimization.</w:t>
      </w:r>
    </w:p>
    <w:p>
      <w:pPr>
        <w:spacing w:after="160"/>
      </w:pPr>
      <w:r>
        <w:rPr>
          <w:b/>
          <w:sz w:val="22"/>
        </w:rPr>
        <w:t xml:space="preserve">ECM calculation. </w:t>
      </w:r>
      <w:r>
        <w:rPr>
          <w:sz w:val="22"/>
        </w:rPr>
        <w:t>Main method: Measure-specific engineering templates. Estimate improvements and account for interactions. Alternatives: Calibrated simulation; ML counterfactual; metered isolation.</w:t>
      </w:r>
    </w:p>
    <w:p>
      <w:pPr>
        <w:spacing w:after="160"/>
      </w:pPr>
      <w:r>
        <w:rPr>
          <w:b/>
          <w:sz w:val="22"/>
        </w:rPr>
        <w:t xml:space="preserve">Financial evaluation. </w:t>
      </w:r>
      <w:r>
        <w:rPr>
          <w:sz w:val="22"/>
        </w:rPr>
        <w:t>Main method: Transparent versioned cash flow. Compare payback, lifecycle cost and investment scenarios. Alternatives: Monte Carlo sensitivity; external real-options analysis.</w:t>
      </w:r>
    </w:p>
    <w:p>
      <w:pPr>
        <w:spacing w:after="160"/>
      </w:pPr>
      <w:r>
        <w:rPr>
          <w:b/>
          <w:sz w:val="22"/>
        </w:rPr>
        <w:t xml:space="preserve">Opportunity ranking. </w:t>
      </w:r>
      <w:r>
        <w:rPr>
          <w:sz w:val="22"/>
        </w:rPr>
        <w:t>Main method: Multicriteria scoring with hard gates. Compare value, readiness, risk and implementation effort. Alternatives: TOPSIS; AHP; portfolio optimization.</w:t>
      </w:r>
    </w:p>
    <w:p>
      <w:pPr>
        <w:spacing w:after="160"/>
      </w:pPr>
      <w:r>
        <w:rPr>
          <w:b/>
          <w:sz w:val="22"/>
        </w:rPr>
        <w:t xml:space="preserve">Chiller performance. </w:t>
      </w:r>
      <w:r>
        <w:rPr>
          <w:sz w:val="22"/>
        </w:rPr>
        <w:t>Main method: Cooling balance and constrained performance curves. Evaluate efficiency under comparable load and cooling conditions. Alternatives: Gordon-Ng; thermodynamic grey-box; manufacturer curve; gradient boosting.</w:t>
      </w:r>
    </w:p>
    <w:p>
      <w:pPr>
        <w:spacing w:after="160"/>
      </w:pPr>
      <w:r>
        <w:rPr>
          <w:b/>
          <w:sz w:val="22"/>
        </w:rPr>
        <w:t xml:space="preserve">Pump performance. </w:t>
      </w:r>
      <w:r>
        <w:rPr>
          <w:sz w:val="22"/>
        </w:rPr>
        <w:t>Main method: Affinity laws and calibrated system curves. Assess hydraulic behavior and parallel-pump opportunities. Alternatives: Constrained polynomial; gradient boosting; hydraulic network.</w:t>
      </w:r>
    </w:p>
    <w:p>
      <w:pPr>
        <w:spacing w:after="160"/>
      </w:pPr>
      <w:r>
        <w:rPr>
          <w:b/>
          <w:sz w:val="22"/>
        </w:rPr>
        <w:t xml:space="preserve">Tower performance. </w:t>
      </w:r>
      <w:r>
        <w:rPr>
          <w:sz w:val="22"/>
        </w:rPr>
        <w:t>Main method: Range approach and wet-bulb normalization. Compare heat rejection and combined plant opportunities. Alternatives: Merkel; NTU; constrained GAM; gradient boosting.</w:t>
      </w:r>
    </w:p>
    <w:p>
      <w:pPr>
        <w:spacing w:after="160"/>
      </w:pPr>
      <w:r>
        <w:rPr>
          <w:b/>
          <w:sz w:val="22"/>
        </w:rPr>
        <w:t xml:space="preserve">AHU performance. </w:t>
      </w:r>
      <w:r>
        <w:rPr>
          <w:sz w:val="22"/>
        </w:rPr>
        <w:t>Main method: Psychrometrics sequence rules and dynamic residuals. Investigate air processes and operating response. Alternatives: Grey-box response; gradient-boosting residual; research PINN.</w:t>
      </w:r>
    </w:p>
    <w:p>
      <w:pPr>
        <w:spacing w:after="160"/>
      </w:pPr>
      <w:r>
        <w:rPr>
          <w:b/>
          <w:sz w:val="22"/>
        </w:rPr>
        <w:t xml:space="preserve">Fresh and exhaust air. </w:t>
      </w:r>
      <w:r>
        <w:rPr>
          <w:sz w:val="22"/>
        </w:rPr>
        <w:t>Main method: Schedules state rules and mass-balance proxies. Assess operation and ventilation-related opportunity. Alternatives: CO2 inverse model; approved occupancy proxy.</w:t>
      </w:r>
    </w:p>
    <w:p>
      <w:pPr>
        <w:spacing w:after="160"/>
      </w:pPr>
      <w:r>
        <w:rPr>
          <w:b/>
          <w:sz w:val="22"/>
        </w:rPr>
        <w:t xml:space="preserve">Common area terminals. </w:t>
      </w:r>
      <w:r>
        <w:rPr>
          <w:sz w:val="22"/>
        </w:rPr>
        <w:t>Main method: Robust temperature rules and first-order RC. Evaluate thermal recovery and actuator response. Alternatives: GAM; gradient boosting; research PINN.</w:t>
      </w:r>
    </w:p>
    <w:p>
      <w:pPr>
        <w:spacing w:after="160"/>
      </w:pPr>
      <w:r>
        <w:rPr>
          <w:b/>
          <w:sz w:val="22"/>
        </w:rPr>
        <w:t xml:space="preserve">Indoor Environment SLA. </w:t>
      </w:r>
      <w:r>
        <w:rPr>
          <w:sz w:val="22"/>
        </w:rPr>
        <w:t>Main method: Configured occupied-space compliance. Calculate the outcome over valid in-scope periods. Alternatives: Selected Standard 55 method; PMV/PPD; supplemental complaints.</w:t>
      </w:r>
    </w:p>
    <w:p>
      <w:pPr>
        <w:spacing w:after="160"/>
      </w:pPr>
      <w:r>
        <w:rPr>
          <w:b/>
          <w:sz w:val="22"/>
        </w:rPr>
        <w:t xml:space="preserve">Equipment Availability SLA. </w:t>
      </w:r>
      <w:r>
        <w:rPr>
          <w:sz w:val="22"/>
        </w:rPr>
        <w:t>Main method: Event state machine and responsibility rules. Calculate required available capacity from multiple signals. Alternatives: Reliability block diagram; later survival analysis.</w:t>
      </w:r>
    </w:p>
    <w:p>
      <w:pPr>
        <w:spacing w:after="160"/>
      </w:pPr>
      <w:r>
        <w:rPr>
          <w:b/>
          <w:sz w:val="22"/>
        </w:rPr>
        <w:t xml:space="preserve">Triple SLA review. </w:t>
      </w:r>
      <w:r>
        <w:rPr>
          <w:sz w:val="22"/>
        </w:rPr>
        <w:t>Main method: Separate professional calculations and contract rules. Retain each outcome and its evidence independently. Alternatives: Optional executive composite view.</w:t>
      </w:r>
    </w:p>
    <w:p>
      <w:r>
        <w:br w:type="page"/>
      </w:r>
    </w:p>
    <w:p>
      <w:pPr>
        <w:pStyle w:val="Heading1"/>
        <w:spacing w:before="0"/>
      </w:pPr>
      <w:r>
        <w:rPr>
          <w:sz w:val="38"/>
        </w:rPr>
        <w:t>Algorithm Catalogue AI and Governance</w:t>
      </w:r>
    </w:p>
    <w:p>
      <w:r>
        <w:rPr>
          <w:rFonts w:ascii="Arial" w:hAnsi="Arial" w:eastAsia="Arial" w:cs="Arial"/>
          <w:b w:val="0"/>
          <w:color w:val="000000"/>
          <w:sz w:val="22"/>
        </w:rPr>
        <w:t>Methods are selected for the data, equipment and decision. Alternative methods are evaluated when the main route does not meet the project’s applicability or acceptance requirements.</w:t>
      </w:r>
    </w:p>
    <w:p>
      <w:pPr>
        <w:spacing w:after="160"/>
      </w:pPr>
      <w:r>
        <w:rPr>
          <w:b/>
          <w:sz w:val="22"/>
        </w:rPr>
        <w:t xml:space="preserve">Energy Orchestrator. </w:t>
      </w:r>
      <w:r>
        <w:rPr>
          <w:sz w:val="22"/>
        </w:rPr>
        <w:t>Main method: Bounded ReAct-style tool use. Plan, authorize, call tools, verify and prepare the answer. Alternatives: Deterministic workflow; bounded planner executor verifier.</w:t>
      </w:r>
    </w:p>
    <w:p>
      <w:pPr>
        <w:spacing w:after="160"/>
      </w:pPr>
      <w:r>
        <w:rPr>
          <w:b/>
          <w:sz w:val="22"/>
        </w:rPr>
        <w:t xml:space="preserve">Model routing. </w:t>
      </w:r>
      <w:r>
        <w:rPr>
          <w:sz w:val="22"/>
        </w:rPr>
        <w:t>Main method: Policy filters and capability scoring. Choose an approved local or cloud model for the task. Alternatives: Fixed route; later learned router.</w:t>
      </w:r>
    </w:p>
    <w:p>
      <w:pPr>
        <w:spacing w:after="160"/>
      </w:pPr>
      <w:r>
        <w:rPr>
          <w:b/>
          <w:sz w:val="22"/>
        </w:rPr>
        <w:t xml:space="preserve">Intent parsing. </w:t>
      </w:r>
      <w:r>
        <w:rPr>
          <w:sz w:val="22"/>
        </w:rPr>
        <w:t>Main method: Hierarchical intent and structured LLM parsing. Bind the request to objects, time, risk and permission. Alternatives: Local classifier; rule-led routing.</w:t>
      </w:r>
    </w:p>
    <w:p>
      <w:pPr>
        <w:spacing w:after="160"/>
      </w:pPr>
      <w:r>
        <w:rPr>
          <w:b/>
          <w:sz w:val="22"/>
        </w:rPr>
        <w:t xml:space="preserve">Evidence verification. </w:t>
      </w:r>
      <w:r>
        <w:rPr>
          <w:sz w:val="22"/>
        </w:rPr>
        <w:t>Main method: Typed claim matching and deterministic checks. Link numerical and technical claims to valid tool or document evidence. Alternatives: Second-model verifier; entailment model.</w:t>
      </w:r>
    </w:p>
    <w:p>
      <w:pPr>
        <w:spacing w:after="160"/>
      </w:pPr>
      <w:r>
        <w:rPr>
          <w:b/>
          <w:sz w:val="22"/>
        </w:rPr>
        <w:t xml:space="preserve">Knowledge retrieval. </w:t>
      </w:r>
      <w:r>
        <w:rPr>
          <w:sz w:val="22"/>
        </w:rPr>
        <w:t>Main method: Permission filtering BM25 and vector retrieval. Retrieve relevant current passages and identify conflicts. Alternatives: Knowledge-graph retrieval; GraphRAG.</w:t>
      </w:r>
    </w:p>
    <w:p>
      <w:pPr>
        <w:spacing w:after="160"/>
      </w:pPr>
      <w:r>
        <w:rPr>
          <w:b/>
          <w:sz w:val="22"/>
        </w:rPr>
        <w:t xml:space="preserve">Memory governance. </w:t>
      </w:r>
      <w:r>
        <w:rPr>
          <w:sz w:val="22"/>
        </w:rPr>
        <w:t>Main method: Scoped memory and approved fact promotion. Retain task state, preferences and confirmed facts appropriately. Alternatives: Approved knowledge-graph facts.</w:t>
      </w:r>
    </w:p>
    <w:p>
      <w:pPr>
        <w:spacing w:after="160"/>
      </w:pPr>
      <w:r>
        <w:rPr>
          <w:b/>
          <w:sz w:val="22"/>
        </w:rPr>
        <w:t xml:space="preserve">AI evaluation. </w:t>
      </w:r>
      <w:r>
        <w:rPr>
          <w:sz w:val="22"/>
        </w:rPr>
        <w:t>Main method: Golden tasks replay and targeted attacks. Evaluate functional quality, calculation integrity and authority. Alternatives: Expert rubric; auxiliary model judging.</w:t>
      </w:r>
    </w:p>
    <w:p>
      <w:pPr>
        <w:spacing w:after="160"/>
      </w:pPr>
      <w:r>
        <w:rPr>
          <w:b/>
          <w:sz w:val="22"/>
        </w:rPr>
        <w:t xml:space="preserve">Agent security. </w:t>
      </w:r>
      <w:r>
        <w:rPr>
          <w:sz w:val="22"/>
        </w:rPr>
        <w:t>Main method: Trust separation and enforced tool policy. Constrain tools, parameters, context and output. Alternatives: Classifier checks and secondary review.</w:t>
      </w:r>
    </w:p>
    <w:p>
      <w:pPr>
        <w:spacing w:after="160"/>
      </w:pPr>
      <w:r>
        <w:rPr>
          <w:b/>
          <w:sz w:val="22"/>
        </w:rPr>
        <w:t xml:space="preserve">Model lifecycle. </w:t>
      </w:r>
      <w:r>
        <w:rPr>
          <w:sz w:val="22"/>
        </w:rPr>
        <w:t>Main method: Registry and champion challenger release. Test, shadow, approve, monitor and roll back versions. Alternatives: Approved exceptional site specialization.</w:t>
      </w:r>
    </w:p>
    <w:p>
      <w:pPr>
        <w:spacing w:after="160"/>
      </w:pPr>
      <w:r>
        <w:rPr>
          <w:b/>
          <w:sz w:val="22"/>
        </w:rPr>
        <w:t xml:space="preserve">Pack calibration. </w:t>
      </w:r>
      <w:r>
        <w:rPr>
          <w:sz w:val="22"/>
        </w:rPr>
        <w:t>Main method: Subtype matching readiness tiers and constrained parameters. Configure reusable equipment methods for the site. Alternatives: Hierarchical learning; approved specialist model.</w:t>
      </w:r>
    </w:p>
    <w:p>
      <w:r>
        <w:br w:type="page"/>
      </w:r>
    </w:p>
    <w:p>
      <w:pPr>
        <w:pStyle w:val="Heading1"/>
        <w:spacing w:before="0"/>
      </w:pPr>
      <w:r>
        <w:rPr>
          <w:sz w:val="38"/>
        </w:rPr>
        <w:t>Glossary and Technical References</w:t>
      </w:r>
    </w:p>
    <w:p>
      <w:r>
        <w:rPr>
          <w:rFonts w:ascii="Arial" w:hAnsi="Arial" w:eastAsia="Arial" w:cs="Arial"/>
          <w:b w:val="0"/>
          <w:color w:val="000000"/>
          <w:sz w:val="22"/>
        </w:rPr>
        <w:t>The following terms and public method references support technical selection.</w:t>
      </w:r>
    </w:p>
    <w:p>
      <w:pPr>
        <w:pStyle w:val="Heading2"/>
      </w:pPr>
      <w:r>
        <w:t>Core terms</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520"/>
        <w:gridCol w:w="7560"/>
      </w:tblGrid>
      <w:tr>
        <w:trPr>
          <w:tblHeader/>
          <w:cantSplit/>
        </w:trPr>
        <w:tc>
          <w:tcPr>
            <w:tcW w:type="dxa" w:w="2520"/>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Term</w:t>
            </w:r>
          </w:p>
        </w:tc>
        <w:tc>
          <w:tcPr>
            <w:tcW w:type="dxa" w:w="7560"/>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Meaning</w:t>
            </w:r>
          </w:p>
        </w:tc>
      </w:tr>
      <w:tr>
        <w:trPr>
          <w:cantSplit/>
        </w:trPr>
        <w:tc>
          <w:tcPr>
            <w:tcW w:type="dxa" w:w="25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M&amp;V</w:t>
            </w:r>
          </w:p>
        </w:tc>
        <w:tc>
          <w:tcPr>
            <w:tcW w:type="dxa" w:w="756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Measurement and Verification of resource and performance outcomes</w:t>
            </w:r>
          </w:p>
        </w:tc>
      </w:tr>
      <w:tr>
        <w:trPr>
          <w:cantSplit/>
        </w:trPr>
        <w:tc>
          <w:tcPr>
            <w:tcW w:type="dxa" w:w="25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ECM</w:t>
            </w:r>
          </w:p>
        </w:tc>
        <w:tc>
          <w:tcPr>
            <w:tcW w:type="dxa" w:w="756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Energy Conservation Measure</w:t>
            </w:r>
          </w:p>
        </w:tc>
      </w:tr>
      <w:tr>
        <w:trPr>
          <w:cantSplit/>
        </w:trPr>
        <w:tc>
          <w:tcPr>
            <w:tcW w:type="dxa" w:w="25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FDD or AFDD</w:t>
            </w:r>
          </w:p>
        </w:tc>
        <w:tc>
          <w:tcPr>
            <w:tcW w:type="dxa" w:w="756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Fault Detection and Diagnostics or Automated Fault Detection and Diagnostics</w:t>
            </w:r>
          </w:p>
        </w:tc>
      </w:tr>
      <w:tr>
        <w:trPr>
          <w:cantSplit/>
        </w:trPr>
        <w:tc>
          <w:tcPr>
            <w:tcW w:type="dxa" w:w="25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Model Pack</w:t>
            </w:r>
          </w:p>
        </w:tc>
        <w:tc>
          <w:tcPr>
            <w:tcW w:type="dxa" w:w="756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Equipment-category semantics, physics, rules, models, calibration and acceptance package</w:t>
            </w:r>
          </w:p>
        </w:tc>
      </w:tr>
      <w:tr>
        <w:trPr>
          <w:cantSplit/>
        </w:trPr>
        <w:tc>
          <w:tcPr>
            <w:tcW w:type="dxa" w:w="25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Control Intent</w:t>
            </w:r>
          </w:p>
        </w:tc>
        <w:tc>
          <w:tcPr>
            <w:tcW w:type="dxa" w:w="756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A structured target with limits, validity, approval and verification; site systems own execution</w:t>
            </w:r>
          </w:p>
        </w:tc>
      </w:tr>
      <w:tr>
        <w:trPr>
          <w:cantSplit/>
        </w:trPr>
        <w:tc>
          <w:tcPr>
            <w:tcW w:type="dxa" w:w="25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Shadow</w:t>
            </w:r>
          </w:p>
        </w:tc>
        <w:tc>
          <w:tcPr>
            <w:tcW w:type="dxa" w:w="756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A comparison stage that uses operating data without altering equipment</w:t>
            </w:r>
          </w:p>
        </w:tc>
      </w:tr>
      <w:tr>
        <w:trPr>
          <w:cantSplit/>
        </w:trPr>
        <w:tc>
          <w:tcPr>
            <w:tcW w:type="dxa" w:w="25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MPC</w:t>
            </w:r>
          </w:p>
        </w:tc>
        <w:tc>
          <w:tcPr>
            <w:tcW w:type="dxa" w:w="756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Model Predictive Control using a constrained rolling-horizon model</w:t>
            </w:r>
          </w:p>
        </w:tc>
      </w:tr>
      <w:tr>
        <w:trPr>
          <w:cantSplit/>
        </w:trPr>
        <w:tc>
          <w:tcPr>
            <w:tcW w:type="dxa" w:w="25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GAM</w:t>
            </w:r>
          </w:p>
        </w:tc>
        <w:tc>
          <w:tcPr>
            <w:tcW w:type="dxa" w:w="756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Generalized Additive Model for interpretable nonlinear relationships</w:t>
            </w:r>
          </w:p>
        </w:tc>
      </w:tr>
      <w:tr>
        <w:trPr>
          <w:cantSplit/>
        </w:trPr>
        <w:tc>
          <w:tcPr>
            <w:tcW w:type="dxa" w:w="25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SLA</w:t>
            </w:r>
          </w:p>
        </w:tc>
        <w:tc>
          <w:tcPr>
            <w:tcW w:type="dxa" w:w="756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Service Level Agreement for a defined outcome</w:t>
            </w:r>
          </w:p>
        </w:tc>
      </w:tr>
      <w:tr>
        <w:trPr>
          <w:cantSplit/>
        </w:trPr>
        <w:tc>
          <w:tcPr>
            <w:tcW w:type="dxa" w:w="25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RTO and RPO</w:t>
            </w:r>
          </w:p>
        </w:tc>
        <w:tc>
          <w:tcPr>
            <w:tcW w:type="dxa" w:w="756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Recovery Time Objective and Recovery Point Objective</w:t>
            </w:r>
          </w:p>
        </w:tc>
      </w:tr>
    </w:tbl>
    <w:p>
      <w:pPr>
        <w:spacing w:after="0"/>
      </w:pPr>
    </w:p>
    <w:p>
      <w:pPr>
        <w:pStyle w:val="Heading2"/>
      </w:pPr>
      <w:r>
        <w:t>Authoritative method references</w:t>
      </w:r>
    </w:p>
    <w:p>
      <w:r>
        <w:rPr>
          <w:rFonts w:ascii="Arial" w:hAnsi="Arial" w:eastAsia="Arial" w:cs="Arial"/>
          <w:b w:val="0"/>
          <w:color w:val="000000"/>
          <w:sz w:val="22"/>
        </w:rPr>
        <w:t>[1] Efficiency Valuation Organization  IPMVP. Measurement boundaries, adjusted comparisons and M&amp;V planning.</w:t>
      </w:r>
    </w:p>
    <w:p>
      <w:r>
        <w:rPr>
          <w:rFonts w:ascii="Arial" w:hAnsi="Arial" w:eastAsia="Arial" w:cs="Arial"/>
          <w:b w:val="0"/>
          <w:color w:val="000000"/>
          <w:sz w:val="22"/>
        </w:rPr>
        <w:t>[2] ASHRAE Standard 55. Thermal environmental conditions for human occupancy.</w:t>
      </w:r>
    </w:p>
    <w:p>
      <w:r>
        <w:rPr>
          <w:rFonts w:ascii="Arial" w:hAnsi="Arial" w:eastAsia="Arial" w:cs="Arial"/>
          <w:b w:val="0"/>
          <w:color w:val="000000"/>
          <w:sz w:val="22"/>
        </w:rPr>
        <w:t>[3] ASHRAE Guideline 36. High performance HVAC sequences and related functional testing.</w:t>
      </w:r>
    </w:p>
    <w:p>
      <w:r>
        <w:rPr>
          <w:rFonts w:ascii="Arial" w:hAnsi="Arial" w:eastAsia="Arial" w:cs="Arial"/>
          <w:b w:val="0"/>
          <w:color w:val="000000"/>
          <w:sz w:val="22"/>
        </w:rPr>
        <w:t>[4] NIST SP 800-82 Revision 3. Guide to Operational Technology Security.</w:t>
      </w:r>
    </w:p>
    <w:p>
      <w:r>
        <w:rPr>
          <w:rFonts w:ascii="Arial" w:hAnsi="Arial" w:eastAsia="Arial" w:cs="Arial"/>
          <w:b w:val="0"/>
          <w:color w:val="000000"/>
          <w:sz w:val="22"/>
        </w:rPr>
        <w:t>[5] NIST AI Risk Management Framework. Voluntary AI risk-management reference.</w:t>
      </w:r>
    </w:p>
    <w:p>
      <w:r>
        <w:rPr>
          <w:rFonts w:ascii="Arial" w:hAnsi="Arial" w:eastAsia="Arial" w:cs="Arial"/>
          <w:b w:val="0"/>
          <w:color w:val="000000"/>
          <w:sz w:val="22"/>
        </w:rPr>
        <w:t>[6] US Department of Energy. Energy Management Information System Capabilities.</w:t>
      </w:r>
    </w:p>
    <w:p>
      <w:pPr>
        <w:pStyle w:val="Heading2"/>
      </w:pPr>
      <w:r>
        <w:t>Reference use</w:t>
      </w:r>
    </w:p>
    <w:p>
      <w:r>
        <w:rPr>
          <w:rFonts w:ascii="Arial" w:hAnsi="Arial" w:eastAsia="Arial" w:cs="Arial"/>
          <w:b w:val="0"/>
          <w:color w:val="000000"/>
          <w:sz w:val="22"/>
        </w:rPr>
        <w:t>These references inform method selection and review. Project requirements, relevant editions and licensed technical details are confirmed in the measurement and delivery plan.</w:t>
      </w:r>
    </w:p>
    <w:p>
      <w:pPr>
        <w:spacing w:after="60"/>
      </w:pPr>
      <w:hyperlink r:id="rId11">
        <w:r>
          <w:rPr>
            <w:color w:val="356D42"/>
            <w:sz w:val="19"/>
          </w:rPr>
          <w:t>IPMVP official overview</w:t>
        </w:r>
      </w:hyperlink>
    </w:p>
    <w:p>
      <w:pPr>
        <w:spacing w:after="60"/>
      </w:pPr>
      <w:hyperlink r:id="rId12">
        <w:r>
          <w:rPr>
            <w:color w:val="356D42"/>
            <w:sz w:val="19"/>
          </w:rPr>
          <w:t>ASHRAE Standard 55 official overview</w:t>
        </w:r>
      </w:hyperlink>
    </w:p>
    <w:p>
      <w:pPr>
        <w:spacing w:after="60"/>
      </w:pPr>
      <w:hyperlink r:id="rId13">
        <w:r>
          <w:rPr>
            <w:color w:val="356D42"/>
            <w:sz w:val="19"/>
          </w:rPr>
          <w:t>ASHRAE guideline titles and scopes</w:t>
        </w:r>
      </w:hyperlink>
    </w:p>
    <w:p>
      <w:pPr>
        <w:spacing w:after="60"/>
      </w:pPr>
      <w:hyperlink r:id="rId14">
        <w:r>
          <w:rPr>
            <w:color w:val="356D42"/>
            <w:sz w:val="19"/>
          </w:rPr>
          <w:t>NIST Operational Technology Security</w:t>
        </w:r>
      </w:hyperlink>
    </w:p>
    <w:p>
      <w:pPr>
        <w:spacing w:after="60"/>
      </w:pPr>
      <w:hyperlink r:id="rId15">
        <w:r>
          <w:rPr>
            <w:color w:val="356D42"/>
            <w:sz w:val="19"/>
          </w:rPr>
          <w:t>NIST AI Risk Management Framework</w:t>
        </w:r>
      </w:hyperlink>
    </w:p>
    <w:p>
      <w:pPr>
        <w:spacing w:after="60"/>
      </w:pPr>
      <w:hyperlink r:id="rId16">
        <w:r>
          <w:rPr>
            <w:color w:val="356D42"/>
            <w:sz w:val="19"/>
          </w:rPr>
          <w:t>DOE EMIS capabilities</w:t>
        </w:r>
      </w:hyperlink>
    </w:p>
    <w:sectPr w:rsidR="00FC693F" w:rsidRPr="0006063C" w:rsidSect="00034616">
      <w:headerReference w:type="default" r:id="rId9"/>
      <w:footerReference w:type="default" r:id="rId10"/>
      <w:pgSz w:w="12240" w:h="15840"/>
      <w:pgMar w:top="1051" w:right="1037" w:bottom="893" w:left="1037" w:header="403"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eastAsia="Arial" w:cs="Arial"/>
        <w:b w:val="0"/>
        <w:color w:val="505050"/>
        <w:sz w:val="16"/>
      </w:rPr>
      <w:t xml:space="preserve">Building Performance Technical Guide   |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310896" cy="310896"/>
          <wp:docPr id="1" name="Picture 1" descr="Approved G4U green leaf mark"/>
          <wp:cNvGraphicFramePr>
            <a:graphicFrameLocks noChangeAspect="1"/>
          </wp:cNvGraphicFramePr>
          <a:graphic>
            <a:graphicData uri="http://schemas.openxmlformats.org/drawingml/2006/picture">
              <pic:pic>
                <pic:nvPicPr>
                  <pic:cNvPr id="0" name="G4U_Mark_Primary_512.png"/>
                  <pic:cNvPicPr/>
                </pic:nvPicPr>
                <pic:blipFill>
                  <a:blip r:embed="rId1"/>
                  <a:stretch>
                    <a:fillRect/>
                  </a:stretch>
                </pic:blipFill>
                <pic:spPr>
                  <a:xfrm>
                    <a:off x="0" y="0"/>
                    <a:ext cx="310896" cy="310896"/>
                  </a:xfrm>
                  <a:prstGeom prst="rect"/>
                </pic:spPr>
              </pic:pic>
            </a:graphicData>
          </a:graphic>
        </wp:inline>
      </w:drawing>
    </w:r>
    <w:r>
      <w:rPr>
        <w:rFonts w:ascii="Arial" w:hAnsi="Arial" w:eastAsia="Arial" w:cs="Arial"/>
        <w:b w:val="0"/>
        <w:color w:val="000000"/>
        <w:sz w:val="18"/>
      </w:rPr>
      <w:t xml:space="preserve">  G4U Technical Services L.L.C.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vo-world.org/en/products-services-mainmenu-en/protocols/ipmvp" TargetMode="External"/><Relationship Id="rId12" Type="http://schemas.openxmlformats.org/officeDocument/2006/relationships/hyperlink" Target="https://www.ashrae.org/technical-resources/bookstore/standard-55-thermal-environmental-conditions-for-human-occupancy" TargetMode="External"/><Relationship Id="rId13" Type="http://schemas.openxmlformats.org/officeDocument/2006/relationships/hyperlink" Target="https://www.ashrae.org/technical-resources/standards-and-guidelines/titles-purposes-and-scopes" TargetMode="External"/><Relationship Id="rId14" Type="http://schemas.openxmlformats.org/officeDocument/2006/relationships/hyperlink" Target="https://csrc.nist.gov/pubs/sp/800/82/r3/final" TargetMode="External"/><Relationship Id="rId15" Type="http://schemas.openxmlformats.org/officeDocument/2006/relationships/hyperlink" Target="https://www.nist.gov/itl/ai-risk-management-framework" TargetMode="External"/><Relationship Id="rId16" Type="http://schemas.openxmlformats.org/officeDocument/2006/relationships/hyperlink" Target="https://www.energy.gov/cmei/femp/energy-management-information-system-capabilit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Performance Technical Guide</dc:title>
  <dc:subject>G4U building performance customer communication</dc:subject>
  <dc:creator>G4U Technical Services L.L.C.</dc:creator>
  <cp:keywords>G4U, building performance, energy management</cp:keywords>
  <dc:description/>
  <cp:lastModifiedBy>G4U Technical Services L.L.C.</cp:lastModifiedBy>
  <cp:revision>1</cp:revision>
  <dcterms:created xsi:type="dcterms:W3CDTF">2026-10-10T19:38:40Z</dcterms:created>
  <dcterms:modified xsi:type="dcterms:W3CDTF">2026-10-10T19:38:40Z</dcterms:modified>
  <cp:category/>
</cp:coreProperties>
</file>